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68" w:rsidRDefault="00662F88" w:rsidP="00D012A4">
      <w:pPr>
        <w:pStyle w:val="Default"/>
        <w:ind w:left="6300"/>
      </w:pPr>
      <w:bookmarkStart w:id="0" w:name="_GoBack"/>
      <w:bookmarkEnd w:id="0"/>
      <w:r>
        <w:t xml:space="preserve">Ann M. Ravel </w:t>
      </w:r>
    </w:p>
    <w:p w:rsidR="00662F88" w:rsidRDefault="00662F88" w:rsidP="00D012A4">
      <w:pPr>
        <w:pStyle w:val="Default"/>
        <w:ind w:left="6300"/>
      </w:pPr>
      <w:r>
        <w:t>Ellen L. Weintraub</w:t>
      </w:r>
    </w:p>
    <w:p w:rsidR="00662F88" w:rsidRDefault="00D335C4" w:rsidP="00D012A4">
      <w:pPr>
        <w:pStyle w:val="Default"/>
        <w:ind w:left="6300"/>
      </w:pPr>
      <w:r>
        <w:t xml:space="preserve">999 E </w:t>
      </w:r>
      <w:r w:rsidR="00662F88">
        <w:t>St.</w:t>
      </w:r>
      <w:r>
        <w:t xml:space="preserve"> NW</w:t>
      </w:r>
      <w:r>
        <w:br/>
        <w:t>Washington, DC 20463</w:t>
      </w:r>
    </w:p>
    <w:p w:rsidR="00662F88" w:rsidRDefault="00662F88" w:rsidP="00662F88">
      <w:pPr>
        <w:pStyle w:val="Default"/>
        <w:ind w:left="-90"/>
      </w:pPr>
    </w:p>
    <w:p w:rsidR="00390D58" w:rsidRDefault="00390D58" w:rsidP="00662F88">
      <w:pPr>
        <w:pStyle w:val="Default"/>
        <w:ind w:left="-90"/>
      </w:pPr>
    </w:p>
    <w:p w:rsidR="000A4068" w:rsidRDefault="000A4068" w:rsidP="00662F88">
      <w:pPr>
        <w:pStyle w:val="Default"/>
        <w:ind w:left="-90"/>
      </w:pPr>
      <w:r>
        <w:t>June 8, 2015</w:t>
      </w:r>
    </w:p>
    <w:p w:rsidR="000A4068" w:rsidRDefault="000A4068" w:rsidP="00662F88">
      <w:pPr>
        <w:pStyle w:val="Default"/>
        <w:ind w:left="-90"/>
      </w:pPr>
    </w:p>
    <w:p w:rsidR="00662F88" w:rsidRDefault="00662F88" w:rsidP="00662F88">
      <w:pPr>
        <w:pStyle w:val="Default"/>
        <w:ind w:left="-90"/>
      </w:pPr>
      <w:r>
        <w:t>Federal Election Commission</w:t>
      </w:r>
    </w:p>
    <w:p w:rsidR="00662F88" w:rsidRDefault="00662F88" w:rsidP="00662F88">
      <w:pPr>
        <w:pStyle w:val="Default"/>
        <w:ind w:left="-90"/>
      </w:pPr>
      <w:r>
        <w:t>Office of General Counsel</w:t>
      </w:r>
    </w:p>
    <w:p w:rsidR="00662F88" w:rsidRDefault="00662F88" w:rsidP="00662F88">
      <w:pPr>
        <w:pStyle w:val="Default"/>
        <w:ind w:left="-90"/>
      </w:pPr>
      <w:r>
        <w:t>999 E St. NW</w:t>
      </w:r>
    </w:p>
    <w:p w:rsidR="00662F88" w:rsidRDefault="00662F88" w:rsidP="00662F88">
      <w:pPr>
        <w:pStyle w:val="Default"/>
        <w:ind w:left="-90"/>
      </w:pPr>
      <w:r>
        <w:t>Washington, DC 20463</w:t>
      </w:r>
    </w:p>
    <w:p w:rsidR="00B0324A" w:rsidRDefault="00B0324A" w:rsidP="003E685D">
      <w:pPr>
        <w:pStyle w:val="Default"/>
        <w:spacing w:line="480" w:lineRule="auto"/>
        <w:ind w:left="-90"/>
        <w:contextualSpacing/>
      </w:pPr>
    </w:p>
    <w:p w:rsidR="00B0324A" w:rsidRDefault="000D37C4" w:rsidP="003E685D">
      <w:pPr>
        <w:pStyle w:val="Default"/>
        <w:spacing w:line="480" w:lineRule="auto"/>
        <w:ind w:firstLine="720"/>
        <w:contextualSpacing/>
      </w:pPr>
      <w:r>
        <w:t xml:space="preserve">Ann M. Ravel and Ellen L. Weintraub </w:t>
      </w:r>
      <w:r w:rsidR="00FF084C" w:rsidRPr="00824A2B">
        <w:t xml:space="preserve">hereby petition the Federal Election Commission </w:t>
      </w:r>
      <w:r w:rsidR="00390D58">
        <w:t xml:space="preserve">pursuant to 11 C.F.R. § 200.1 </w:t>
      </w:r>
      <w:r w:rsidR="00390D58" w:rsidRPr="00390D58">
        <w:rPr>
          <w:i/>
        </w:rPr>
        <w:t>et seq.</w:t>
      </w:r>
      <w:r w:rsidR="00390D58">
        <w:t xml:space="preserve"> </w:t>
      </w:r>
      <w:r w:rsidR="00FF084C" w:rsidRPr="00824A2B">
        <w:t xml:space="preserve">to issue new rules and </w:t>
      </w:r>
      <w:r w:rsidR="00FF084C">
        <w:t xml:space="preserve">to </w:t>
      </w:r>
      <w:r w:rsidR="00FF084C" w:rsidRPr="00824A2B">
        <w:t xml:space="preserve">amend its current rules </w:t>
      </w:r>
      <w:proofErr w:type="gramStart"/>
      <w:r w:rsidR="00781902">
        <w:t>implementing</w:t>
      </w:r>
      <w:proofErr w:type="gramEnd"/>
      <w:r w:rsidR="00781902">
        <w:t xml:space="preserve"> </w:t>
      </w:r>
      <w:r w:rsidR="00FF084C">
        <w:t xml:space="preserve">the Federal Election Campaign Act </w:t>
      </w:r>
      <w:r w:rsidR="00E86108">
        <w:t xml:space="preserve">of 1971, as amended </w:t>
      </w:r>
      <w:r w:rsidR="00FF084C">
        <w:t>(“the Act”)</w:t>
      </w:r>
      <w:r w:rsidR="00F00016">
        <w:t>,</w:t>
      </w:r>
      <w:r w:rsidR="00781902">
        <w:t xml:space="preserve"> in order to</w:t>
      </w:r>
      <w:r w:rsidR="007E39DD">
        <w:t xml:space="preserve"> respond to and</w:t>
      </w:r>
      <w:r w:rsidR="00781902">
        <w:t xml:space="preserve"> comply with </w:t>
      </w:r>
      <w:r w:rsidR="00781902" w:rsidRPr="00824A2B">
        <w:t xml:space="preserve">the Supreme Court’s decision in </w:t>
      </w:r>
      <w:r w:rsidR="00781902" w:rsidRPr="00824A2B">
        <w:rPr>
          <w:i/>
          <w:iCs/>
        </w:rPr>
        <w:t xml:space="preserve">Citizens </w:t>
      </w:r>
      <w:r w:rsidR="00781902" w:rsidRPr="00CA2A07">
        <w:rPr>
          <w:i/>
          <w:iCs/>
        </w:rPr>
        <w:t xml:space="preserve">United </w:t>
      </w:r>
      <w:r w:rsidR="00781902" w:rsidRPr="00CA2A07">
        <w:rPr>
          <w:i/>
        </w:rPr>
        <w:t>v.</w:t>
      </w:r>
      <w:r w:rsidR="00781902" w:rsidRPr="00824A2B">
        <w:t xml:space="preserve"> </w:t>
      </w:r>
      <w:r w:rsidR="00781902" w:rsidRPr="00824A2B">
        <w:rPr>
          <w:i/>
          <w:iCs/>
        </w:rPr>
        <w:t>FEC</w:t>
      </w:r>
      <w:r w:rsidR="00FF084C">
        <w:t>.</w:t>
      </w:r>
      <w:r w:rsidR="00FF084C">
        <w:rPr>
          <w:rStyle w:val="FootnoteReference"/>
        </w:rPr>
        <w:footnoteReference w:id="2"/>
      </w:r>
      <w:r w:rsidR="00FF084C">
        <w:t xml:space="preserve"> </w:t>
      </w:r>
    </w:p>
    <w:p w:rsidR="00B0324A" w:rsidRDefault="00FF084C" w:rsidP="003E685D">
      <w:pPr>
        <w:pStyle w:val="Default"/>
        <w:spacing w:line="480" w:lineRule="auto"/>
        <w:ind w:firstLine="720"/>
        <w:contextualSpacing/>
      </w:pPr>
      <w:r>
        <w:t xml:space="preserve">The </w:t>
      </w:r>
      <w:r w:rsidRPr="00DD3A3D">
        <w:rPr>
          <w:i/>
        </w:rPr>
        <w:t>Citizens United</w:t>
      </w:r>
      <w:r>
        <w:rPr>
          <w:i/>
        </w:rPr>
        <w:t xml:space="preserve"> </w:t>
      </w:r>
      <w:r>
        <w:t>decision and its progeny in the lower courts</w:t>
      </w:r>
      <w:r w:rsidR="009973B7">
        <w:rPr>
          <w:rStyle w:val="FootnoteReference"/>
        </w:rPr>
        <w:footnoteReference w:id="3"/>
      </w:r>
      <w:r>
        <w:t xml:space="preserve"> have </w:t>
      </w:r>
      <w:r w:rsidR="00E62C61">
        <w:t>transformed</w:t>
      </w:r>
      <w:r>
        <w:t xml:space="preserve"> the American campaign finance system</w:t>
      </w:r>
      <w:r w:rsidR="0062694B">
        <w:t xml:space="preserve"> by opening up substantial new avenues for outside spending</w:t>
      </w:r>
      <w:r w:rsidR="00EB760E">
        <w:t xml:space="preserve">. </w:t>
      </w:r>
      <w:r w:rsidR="00A902AB">
        <w:t xml:space="preserve">In </w:t>
      </w:r>
      <w:r w:rsidR="00A902AB">
        <w:rPr>
          <w:i/>
        </w:rPr>
        <w:t xml:space="preserve">Citizens United, </w:t>
      </w:r>
      <w:r w:rsidR="00A902AB">
        <w:t xml:space="preserve">the Supreme Court </w:t>
      </w:r>
      <w:r w:rsidR="0087753D">
        <w:t xml:space="preserve">ruled that </w:t>
      </w:r>
      <w:r w:rsidR="0062694B">
        <w:t xml:space="preserve">corporations and labor organizations could not be prohibited from making </w:t>
      </w:r>
      <w:r w:rsidR="00831E92">
        <w:t>communications advocating for the election or defeat of particular candidates</w:t>
      </w:r>
      <w:r w:rsidR="0062694B">
        <w:t>, reasoning that</w:t>
      </w:r>
      <w:r w:rsidR="00831E92">
        <w:t>, as long as</w:t>
      </w:r>
      <w:r w:rsidR="0062694B">
        <w:t xml:space="preserve"> </w:t>
      </w:r>
      <w:r w:rsidR="005E6BEA">
        <w:t>political spending i</w:t>
      </w:r>
      <w:r w:rsidR="005E6BEA" w:rsidRPr="00831E92">
        <w:t xml:space="preserve">s </w:t>
      </w:r>
      <w:r w:rsidR="00831E92">
        <w:t xml:space="preserve">entirely </w:t>
      </w:r>
      <w:r w:rsidR="005E6BEA" w:rsidRPr="00831E92">
        <w:t>independent of candidates</w:t>
      </w:r>
      <w:r w:rsidR="008C4102">
        <w:t>—</w:t>
      </w:r>
      <w:r w:rsidR="0062694B" w:rsidRPr="00831E92">
        <w:t>in other words,</w:t>
      </w:r>
      <w:r w:rsidR="005E6BEA" w:rsidRPr="00831E92">
        <w:t xml:space="preserve"> not </w:t>
      </w:r>
      <w:r w:rsidR="000E7AD4" w:rsidRPr="00D64796">
        <w:rPr>
          <w:i/>
        </w:rPr>
        <w:t>coordinated</w:t>
      </w:r>
      <w:r w:rsidR="008C4102">
        <w:t>—</w:t>
      </w:r>
      <w:r w:rsidR="00831E92">
        <w:t>it</w:t>
      </w:r>
      <w:r w:rsidR="0087753D" w:rsidRPr="00831E92">
        <w:t xml:space="preserve"> does not </w:t>
      </w:r>
      <w:r w:rsidR="005E6BEA" w:rsidRPr="00831E92">
        <w:t>raise corruption concerns</w:t>
      </w:r>
      <w:r w:rsidR="0087753D" w:rsidRPr="00831E92">
        <w:t>.</w:t>
      </w:r>
      <w:r w:rsidR="0087753D" w:rsidRPr="00831E92">
        <w:rPr>
          <w:rStyle w:val="FootnoteReference"/>
        </w:rPr>
        <w:footnoteReference w:id="4"/>
      </w:r>
      <w:r w:rsidR="005E6BEA" w:rsidRPr="00831E92">
        <w:t xml:space="preserve"> </w:t>
      </w:r>
      <w:r w:rsidR="008C4102">
        <w:t xml:space="preserve"> </w:t>
      </w:r>
      <w:r w:rsidR="0062694B" w:rsidRPr="00831E92">
        <w:t>Subseq</w:t>
      </w:r>
      <w:r w:rsidR="0062694B">
        <w:t xml:space="preserve">uent </w:t>
      </w:r>
      <w:r w:rsidR="00831E92">
        <w:t xml:space="preserve">related </w:t>
      </w:r>
      <w:r w:rsidR="0062694B">
        <w:t xml:space="preserve">court decisions, combined with inaction on the part of the FEC, has led to a proliferation of </w:t>
      </w:r>
      <w:r w:rsidR="00D64796">
        <w:t>super PACs</w:t>
      </w:r>
      <w:r w:rsidR="00D64796">
        <w:rPr>
          <w:rStyle w:val="FootnoteReference"/>
        </w:rPr>
        <w:footnoteReference w:id="5"/>
      </w:r>
      <w:r w:rsidR="00D64796">
        <w:t xml:space="preserve"> and other outside spending groups—many of which appear to be closely associated with </w:t>
      </w:r>
      <w:r w:rsidR="00D64796">
        <w:lastRenderedPageBreak/>
        <w:t>particular candidates</w:t>
      </w:r>
      <w:r w:rsidR="00D64796" w:rsidDel="00D64796">
        <w:t xml:space="preserve"> </w:t>
      </w:r>
      <w:r w:rsidR="00D64796">
        <w:t xml:space="preserve">and many of which do not disclose their donors—and has resulted in  </w:t>
      </w:r>
      <w:r w:rsidR="0062694B">
        <w:t xml:space="preserve"> lingering uncertainty about other important issues concerning corporate and labor organization spending.</w:t>
      </w:r>
    </w:p>
    <w:p w:rsidR="00B0324A" w:rsidRDefault="00FF084C" w:rsidP="003E685D">
      <w:pPr>
        <w:pStyle w:val="Default"/>
        <w:spacing w:line="480" w:lineRule="auto"/>
        <w:ind w:firstLine="720"/>
        <w:contextualSpacing/>
      </w:pPr>
      <w:r>
        <w:t xml:space="preserve">The Supreme Court’s decision to strike down the ban on corporate and labor independent campaign-related spending has </w:t>
      </w:r>
      <w:r w:rsidR="008E4463">
        <w:t>led to</w:t>
      </w:r>
      <w:r>
        <w:t xml:space="preserve"> </w:t>
      </w:r>
      <w:r w:rsidR="001715A7">
        <w:t>record</w:t>
      </w:r>
      <w:r>
        <w:t xml:space="preserve"> </w:t>
      </w:r>
      <w:r w:rsidR="00EE31F3">
        <w:t xml:space="preserve">increases in </w:t>
      </w:r>
      <w:r>
        <w:t xml:space="preserve">election spending by </w:t>
      </w:r>
      <w:r w:rsidR="00831E92">
        <w:t xml:space="preserve">all of these </w:t>
      </w:r>
      <w:r>
        <w:t>outside groups</w:t>
      </w:r>
      <w:r w:rsidR="00EB760E">
        <w:t xml:space="preserve">. </w:t>
      </w:r>
      <w:r w:rsidR="008C4102">
        <w:t xml:space="preserve"> </w:t>
      </w:r>
      <w:r>
        <w:t>Outside spending in the 2012 election cycle exceeded $1 billion for the first time, triple the amount spent in the 2008 cycle.</w:t>
      </w:r>
      <w:r>
        <w:rPr>
          <w:rStyle w:val="FootnoteReference"/>
        </w:rPr>
        <w:footnoteReference w:id="6"/>
      </w:r>
      <w:r>
        <w:t xml:space="preserve"> </w:t>
      </w:r>
      <w:r w:rsidR="008C4102">
        <w:t xml:space="preserve"> </w:t>
      </w:r>
      <w:r w:rsidR="001E7400">
        <w:t>Similarly, in the 2014 midterm election</w:t>
      </w:r>
      <w:r w:rsidR="00252331">
        <w:t>s</w:t>
      </w:r>
      <w:r w:rsidR="001E7400">
        <w:t xml:space="preserve">, </w:t>
      </w:r>
      <w:r w:rsidR="00252331">
        <w:t>outside spending “was a larger chunk of the total cost of the election than ever before.”</w:t>
      </w:r>
      <w:r w:rsidR="001E7400">
        <w:rPr>
          <w:rStyle w:val="FootnoteReference"/>
        </w:rPr>
        <w:footnoteReference w:id="7"/>
      </w:r>
      <w:r w:rsidR="001E7400">
        <w:t xml:space="preserve"> </w:t>
      </w:r>
      <w:r w:rsidR="008C4102">
        <w:t xml:space="preserve"> </w:t>
      </w:r>
      <w:proofErr w:type="gramStart"/>
      <w:r w:rsidR="00AE2489">
        <w:t>In many of the most competitive races, outside spending far exceeded spending by the candidates.</w:t>
      </w:r>
      <w:proofErr w:type="gramEnd"/>
      <w:r w:rsidR="00AE2489">
        <w:rPr>
          <w:rStyle w:val="FootnoteReference"/>
        </w:rPr>
        <w:footnoteReference w:id="8"/>
      </w:r>
    </w:p>
    <w:p w:rsidR="00B0324A" w:rsidRDefault="008E4463" w:rsidP="003E685D">
      <w:pPr>
        <w:pStyle w:val="Default"/>
        <w:spacing w:line="480" w:lineRule="auto"/>
        <w:ind w:firstLine="720"/>
        <w:contextualSpacing/>
      </w:pPr>
      <w:r>
        <w:t>While the Supreme</w:t>
      </w:r>
      <w:r w:rsidR="001715A7">
        <w:t xml:space="preserve"> Court </w:t>
      </w:r>
      <w:r>
        <w:t xml:space="preserve">ruled that corporations and labor organizations have a First Amendment right to engage in </w:t>
      </w:r>
      <w:r w:rsidR="00113D23">
        <w:t xml:space="preserve">independent </w:t>
      </w:r>
      <w:r>
        <w:t xml:space="preserve">spending, </w:t>
      </w:r>
      <w:r w:rsidRPr="008E4463">
        <w:t>the Court also resoundingly affirmed disclosure laws requiring political advertisers to provide information</w:t>
      </w:r>
      <w:r>
        <w:t xml:space="preserve"> to the public about their spending and their funding sources</w:t>
      </w:r>
      <w:r w:rsidR="00EB760E">
        <w:t xml:space="preserve">. </w:t>
      </w:r>
      <w:r w:rsidR="008C4102">
        <w:t xml:space="preserve"> </w:t>
      </w:r>
      <w:r>
        <w:t xml:space="preserve">Contrary to the Court’s directive, </w:t>
      </w:r>
      <w:r w:rsidR="00252331">
        <w:t xml:space="preserve">however, </w:t>
      </w:r>
      <w:r w:rsidR="00AE2489">
        <w:t xml:space="preserve">millions of dollars in </w:t>
      </w:r>
      <w:r>
        <w:t xml:space="preserve">anonymous spending </w:t>
      </w:r>
      <w:r w:rsidR="00AE2489">
        <w:t>has surged int</w:t>
      </w:r>
      <w:r>
        <w:t>o federal elections</w:t>
      </w:r>
      <w:r w:rsidR="00EB760E">
        <w:t xml:space="preserve">. </w:t>
      </w:r>
      <w:r w:rsidR="008C4102">
        <w:t xml:space="preserve"> </w:t>
      </w:r>
      <w:r w:rsidR="00FF084C">
        <w:t>N</w:t>
      </w:r>
      <w:r>
        <w:t>early a third of 2012 election cycle outside</w:t>
      </w:r>
      <w:r w:rsidR="00EE31F3">
        <w:t xml:space="preserve"> spending—</w:t>
      </w:r>
      <w:r w:rsidR="00FF084C">
        <w:t>$310 million—</w:t>
      </w:r>
      <w:r w:rsidR="00F43915">
        <w:t xml:space="preserve">came </w:t>
      </w:r>
      <w:r w:rsidR="00FF084C">
        <w:t xml:space="preserve">from “dark money” groups that do not disclose </w:t>
      </w:r>
      <w:r w:rsidR="00FF084C">
        <w:lastRenderedPageBreak/>
        <w:t>their donors.</w:t>
      </w:r>
      <w:r w:rsidR="00FF084C">
        <w:rPr>
          <w:rStyle w:val="FootnoteReference"/>
        </w:rPr>
        <w:footnoteReference w:id="9"/>
      </w:r>
      <w:r w:rsidR="00EE31F3">
        <w:t xml:space="preserve">  </w:t>
      </w:r>
      <w:r w:rsidR="00252331">
        <w:t>I</w:t>
      </w:r>
      <w:r w:rsidR="00FF084C">
        <w:t xml:space="preserve">n the 2014 </w:t>
      </w:r>
      <w:r w:rsidR="00EF4462">
        <w:t>midterm elections</w:t>
      </w:r>
      <w:r w:rsidR="00252331">
        <w:t>, it is estimated that dark money accounted for over a third of outside spending, upwards of $190 million.</w:t>
      </w:r>
      <w:r w:rsidR="00252331">
        <w:rPr>
          <w:rStyle w:val="FootnoteReference"/>
        </w:rPr>
        <w:footnoteReference w:id="10"/>
      </w:r>
    </w:p>
    <w:p w:rsidR="00B0324A" w:rsidRDefault="00FF084C" w:rsidP="003E685D">
      <w:pPr>
        <w:pStyle w:val="Default"/>
        <w:spacing w:line="480" w:lineRule="auto"/>
        <w:ind w:firstLine="720"/>
        <w:contextualSpacing/>
      </w:pPr>
      <w:r>
        <w:t>The Commission is statutorily obligated to formulate policy with respect to the Act</w:t>
      </w:r>
      <w:r w:rsidR="00EB760E">
        <w:t xml:space="preserve">. </w:t>
      </w:r>
      <w:r w:rsidR="008C4102">
        <w:t xml:space="preserve"> </w:t>
      </w:r>
      <w:r w:rsidR="00464E1D">
        <w:t xml:space="preserve">The </w:t>
      </w:r>
      <w:r>
        <w:t xml:space="preserve">Commission </w:t>
      </w:r>
      <w:r w:rsidR="00464E1D">
        <w:t>should therefore</w:t>
      </w:r>
      <w:r>
        <w:t xml:space="preserve"> promulgate new rules </w:t>
      </w:r>
      <w:r w:rsidR="008E4463">
        <w:t>ensuring that the public is fully</w:t>
      </w:r>
      <w:r w:rsidR="0018526D">
        <w:t xml:space="preserve"> </w:t>
      </w:r>
      <w:r w:rsidR="008E4463">
        <w:t xml:space="preserve">informed about </w:t>
      </w:r>
      <w:r w:rsidR="00DC33F2">
        <w:t xml:space="preserve">all </w:t>
      </w:r>
      <w:r w:rsidR="008E4463">
        <w:t>election-related spending, in accordance with</w:t>
      </w:r>
      <w:r>
        <w:t xml:space="preserve"> </w:t>
      </w:r>
      <w:r w:rsidRPr="00FF084C">
        <w:rPr>
          <w:i/>
        </w:rPr>
        <w:t>Citizens United</w:t>
      </w:r>
      <w:r>
        <w:t>.</w:t>
      </w:r>
      <w:r w:rsidR="00E43329">
        <w:rPr>
          <w:rStyle w:val="FootnoteReference"/>
        </w:rPr>
        <w:footnoteReference w:id="11"/>
      </w:r>
      <w:r>
        <w:t xml:space="preserve">  </w:t>
      </w:r>
    </w:p>
    <w:p w:rsidR="00B0324A" w:rsidRDefault="00885F6A" w:rsidP="003E685D">
      <w:pPr>
        <w:pStyle w:val="Default"/>
        <w:spacing w:line="480" w:lineRule="auto"/>
        <w:ind w:firstLine="720"/>
        <w:contextualSpacing/>
      </w:pPr>
      <w:r>
        <w:t xml:space="preserve">Nearly five years after the </w:t>
      </w:r>
      <w:r w:rsidRPr="00551B9B">
        <w:rPr>
          <w:i/>
        </w:rPr>
        <w:t>Citizens United</w:t>
      </w:r>
      <w:r>
        <w:t xml:space="preserve"> decision, the Commission </w:t>
      </w:r>
      <w:r w:rsidR="00F43915">
        <w:t xml:space="preserve">took limited action to remove </w:t>
      </w:r>
      <w:r>
        <w:t xml:space="preserve">regulations </w:t>
      </w:r>
      <w:r w:rsidR="00464E1D">
        <w:t xml:space="preserve">that </w:t>
      </w:r>
      <w:r w:rsidR="00FD056B">
        <w:t xml:space="preserve">the Court had </w:t>
      </w:r>
      <w:r>
        <w:t>ruled unconstitutional</w:t>
      </w:r>
      <w:r w:rsidR="00EB760E">
        <w:t xml:space="preserve">. </w:t>
      </w:r>
      <w:r w:rsidR="008C4102">
        <w:t xml:space="preserve"> </w:t>
      </w:r>
      <w:r>
        <w:t xml:space="preserve">While </w:t>
      </w:r>
      <w:r w:rsidR="00D64796">
        <w:t>this</w:t>
      </w:r>
      <w:r>
        <w:t xml:space="preserve"> provide</w:t>
      </w:r>
      <w:r w:rsidR="00D64796">
        <w:t>d</w:t>
      </w:r>
      <w:r>
        <w:t xml:space="preserve"> </w:t>
      </w:r>
      <w:r w:rsidR="005E4C71">
        <w:t xml:space="preserve">some </w:t>
      </w:r>
      <w:r>
        <w:t>guidance to the public, the</w:t>
      </w:r>
      <w:r w:rsidR="00E62C61">
        <w:t xml:space="preserve"> Commission has not yet fulfilled its obligation to </w:t>
      </w:r>
      <w:r>
        <w:t xml:space="preserve">address the </w:t>
      </w:r>
      <w:r w:rsidR="00E62C61">
        <w:t>fact that</w:t>
      </w:r>
      <w:r w:rsidR="00FD056B">
        <w:t xml:space="preserve"> </w:t>
      </w:r>
      <w:r w:rsidR="009721BF" w:rsidRPr="00EB760E">
        <w:rPr>
          <w:i/>
        </w:rPr>
        <w:t>Citizens United</w:t>
      </w:r>
      <w:r w:rsidR="00E62C61">
        <w:rPr>
          <w:i/>
        </w:rPr>
        <w:t xml:space="preserve"> </w:t>
      </w:r>
      <w:r w:rsidR="00E62C61">
        <w:t xml:space="preserve">was premised on </w:t>
      </w:r>
      <w:r w:rsidR="00E43329">
        <w:t>adequate disclosure of the</w:t>
      </w:r>
      <w:r w:rsidR="006672A8">
        <w:t>se</w:t>
      </w:r>
      <w:r>
        <w:t xml:space="preserve"> </w:t>
      </w:r>
      <w:r w:rsidR="00E43329">
        <w:t xml:space="preserve">new sources of </w:t>
      </w:r>
      <w:r>
        <w:t>outside spending</w:t>
      </w:r>
      <w:r w:rsidR="00E62C61">
        <w:t xml:space="preserve">.  </w:t>
      </w:r>
      <w:r w:rsidR="00F34561">
        <w:t>Anonymous campaign spending will continue to diminish public faith in the political process, unless the Commission acts.</w:t>
      </w:r>
      <w:r w:rsidR="00F34561">
        <w:rPr>
          <w:rStyle w:val="FootnoteReference"/>
        </w:rPr>
        <w:footnoteReference w:id="12"/>
      </w:r>
      <w:r w:rsidR="00F34561">
        <w:t xml:space="preserve">  </w:t>
      </w:r>
    </w:p>
    <w:p w:rsidR="00B0324A" w:rsidRDefault="00F34561" w:rsidP="003E685D">
      <w:pPr>
        <w:pStyle w:val="Default"/>
        <w:spacing w:line="480" w:lineRule="auto"/>
        <w:ind w:firstLine="720"/>
        <w:contextualSpacing/>
      </w:pPr>
      <w:r>
        <w:t>T</w:t>
      </w:r>
      <w:r w:rsidR="00885F6A">
        <w:t xml:space="preserve">he Commission must </w:t>
      </w:r>
      <w:r>
        <w:t xml:space="preserve">also address other significant policy </w:t>
      </w:r>
      <w:r w:rsidR="00F43915">
        <w:t xml:space="preserve">issues </w:t>
      </w:r>
      <w:r w:rsidR="00885F6A">
        <w:t xml:space="preserve">in order to faithfully implement the Act in light of the </w:t>
      </w:r>
      <w:r w:rsidR="00FD056B">
        <w:t>Supreme Court’s</w:t>
      </w:r>
      <w:r w:rsidR="00885F6A">
        <w:rPr>
          <w:i/>
        </w:rPr>
        <w:t xml:space="preserve"> </w:t>
      </w:r>
      <w:r w:rsidR="00885F6A">
        <w:t>decision</w:t>
      </w:r>
      <w:r w:rsidR="00EB760E">
        <w:t xml:space="preserve">. </w:t>
      </w:r>
      <w:r w:rsidR="008C4102">
        <w:t xml:space="preserve"> </w:t>
      </w:r>
      <w:r w:rsidR="00530477">
        <w:t xml:space="preserve">For example, the new rules do not </w:t>
      </w:r>
      <w:r w:rsidR="00B8307E">
        <w:t>address</w:t>
      </w:r>
      <w:r w:rsidR="00530477">
        <w:t xml:space="preserve"> spending in U.S. federal elections</w:t>
      </w:r>
      <w:r w:rsidR="00B8307E">
        <w:t xml:space="preserve"> by corporations that are owned or controlled by foreign nationals or foreign governments</w:t>
      </w:r>
      <w:r w:rsidR="00EB760E">
        <w:t xml:space="preserve">. </w:t>
      </w:r>
      <w:r w:rsidR="008C4102">
        <w:t xml:space="preserve"> </w:t>
      </w:r>
      <w:r w:rsidR="00530477">
        <w:t xml:space="preserve">Nor do the rules </w:t>
      </w:r>
      <w:r w:rsidR="0067106C">
        <w:t>address the increased potential for coercion by</w:t>
      </w:r>
      <w:r w:rsidR="00530477">
        <w:t xml:space="preserve"> labor unions and corporate employers</w:t>
      </w:r>
      <w:r w:rsidR="00EB760E">
        <w:t xml:space="preserve">. </w:t>
      </w:r>
      <w:r w:rsidR="008C4102">
        <w:t xml:space="preserve"> </w:t>
      </w:r>
      <w:r w:rsidR="000A4068">
        <w:t>Moreover, t</w:t>
      </w:r>
      <w:r w:rsidR="00F07508">
        <w:t xml:space="preserve">he proliferation of </w:t>
      </w:r>
      <w:r w:rsidR="00F3671C">
        <w:t>s</w:t>
      </w:r>
      <w:r w:rsidR="00F07508">
        <w:t xml:space="preserve">uper PACs </w:t>
      </w:r>
      <w:r w:rsidR="00DF3D03">
        <w:lastRenderedPageBreak/>
        <w:t xml:space="preserve">and other outside spending groups </w:t>
      </w:r>
      <w:r w:rsidR="00F07508">
        <w:t xml:space="preserve">exposed gaps in the Commission’s regulations that must be filled to address </w:t>
      </w:r>
      <w:r w:rsidR="00DF3D03">
        <w:t xml:space="preserve">organizations </w:t>
      </w:r>
      <w:r w:rsidR="00F07508" w:rsidRPr="005C6BBB">
        <w:t xml:space="preserve">whose established relationships with </w:t>
      </w:r>
      <w:r w:rsidR="00357BFC">
        <w:t>f</w:t>
      </w:r>
      <w:r w:rsidR="00F07508" w:rsidRPr="005C6BBB">
        <w:t>ederal candidates facilitate coordination</w:t>
      </w:r>
      <w:r w:rsidR="00EB760E">
        <w:t xml:space="preserve">. </w:t>
      </w:r>
    </w:p>
    <w:p w:rsidR="00B0324A" w:rsidRDefault="001715A7" w:rsidP="003E685D">
      <w:pPr>
        <w:pStyle w:val="Default"/>
        <w:spacing w:line="480" w:lineRule="auto"/>
        <w:ind w:firstLine="720"/>
        <w:contextualSpacing/>
      </w:pPr>
      <w:r>
        <w:t>We are therefore taking the unprecedented step</w:t>
      </w:r>
      <w:r w:rsidR="00B8307E">
        <w:t>, as members of the Commission,</w:t>
      </w:r>
      <w:r>
        <w:t xml:space="preserve"> of petitioning the Commission to</w:t>
      </w:r>
      <w:r w:rsidR="00885F6A">
        <w:t xml:space="preserve"> revise and amend its rules</w:t>
      </w:r>
      <w:r w:rsidR="008309D9">
        <w:t xml:space="preserve"> </w:t>
      </w:r>
      <w:r w:rsidR="00A00441">
        <w:t>in order to</w:t>
      </w:r>
      <w:r w:rsidR="00885F6A" w:rsidRPr="00824A2B">
        <w:t xml:space="preserve">:  </w:t>
      </w:r>
    </w:p>
    <w:p w:rsidR="00B0324A" w:rsidRDefault="00A00441" w:rsidP="003E685D">
      <w:pPr>
        <w:pStyle w:val="Default"/>
        <w:numPr>
          <w:ilvl w:val="0"/>
          <w:numId w:val="2"/>
        </w:numPr>
        <w:spacing w:line="480" w:lineRule="auto"/>
        <w:contextualSpacing/>
      </w:pPr>
      <w:r>
        <w:t>E</w:t>
      </w:r>
      <w:r w:rsidR="008309D9">
        <w:t xml:space="preserve">nsure full </w:t>
      </w:r>
      <w:r w:rsidR="00885F6A" w:rsidRPr="00824A2B">
        <w:t xml:space="preserve">public disclosure of corporate and labor organization independent </w:t>
      </w:r>
      <w:r w:rsidR="00885F6A">
        <w:t>spending</w:t>
      </w:r>
      <w:r w:rsidR="008309D9">
        <w:t>, consi</w:t>
      </w:r>
      <w:r w:rsidR="00191512">
        <w:t xml:space="preserve">stent with </w:t>
      </w:r>
      <w:r w:rsidR="00E957FD">
        <w:t xml:space="preserve">both the </w:t>
      </w:r>
      <w:r w:rsidR="00E957FD" w:rsidRPr="00E957FD">
        <w:rPr>
          <w:i/>
        </w:rPr>
        <w:t>Citizens United</w:t>
      </w:r>
      <w:r w:rsidR="00E957FD">
        <w:t xml:space="preserve"> decision and </w:t>
      </w:r>
      <w:r w:rsidR="00191512">
        <w:t>the A</w:t>
      </w:r>
      <w:r w:rsidR="00E957FD">
        <w:t>ct’s requirement</w:t>
      </w:r>
      <w:r w:rsidR="008309D9">
        <w:t xml:space="preserve"> that outside spending groups disclose their donors</w:t>
      </w:r>
      <w:r w:rsidR="00B84AD8">
        <w:t>.</w:t>
      </w:r>
    </w:p>
    <w:p w:rsidR="00B0324A" w:rsidRDefault="00A00441" w:rsidP="003E685D">
      <w:pPr>
        <w:pStyle w:val="Default"/>
        <w:numPr>
          <w:ilvl w:val="0"/>
          <w:numId w:val="2"/>
        </w:numPr>
        <w:spacing w:line="480" w:lineRule="auto"/>
        <w:contextualSpacing/>
      </w:pPr>
      <w:r>
        <w:t>Clarify</w:t>
      </w:r>
      <w:r w:rsidR="00DA0F93">
        <w:t xml:space="preserve"> that</w:t>
      </w:r>
      <w:r w:rsidR="00CA1E70">
        <w:t xml:space="preserve"> </w:t>
      </w:r>
      <w:r w:rsidR="00885F6A">
        <w:t xml:space="preserve">the prohibition on </w:t>
      </w:r>
      <w:r w:rsidR="00E43329">
        <w:t xml:space="preserve">foreign national campaign-related spending restricts </w:t>
      </w:r>
      <w:r w:rsidR="00E957FD">
        <w:t xml:space="preserve">such </w:t>
      </w:r>
      <w:r w:rsidR="00E43329">
        <w:t>spendi</w:t>
      </w:r>
      <w:r w:rsidR="00DA0F93">
        <w:t xml:space="preserve">ng by U.S. corporations owned </w:t>
      </w:r>
      <w:r w:rsidR="00DC33F2">
        <w:t xml:space="preserve">or </w:t>
      </w:r>
      <w:r w:rsidR="00E43329">
        <w:t xml:space="preserve">controlled </w:t>
      </w:r>
      <w:r w:rsidR="00B84AD8">
        <w:t>by a foreign national</w:t>
      </w:r>
      <w:r w:rsidR="00EB760E">
        <w:t xml:space="preserve">. </w:t>
      </w:r>
    </w:p>
    <w:p w:rsidR="00B0324A" w:rsidRDefault="0067106C" w:rsidP="003E685D">
      <w:pPr>
        <w:pStyle w:val="Default"/>
        <w:numPr>
          <w:ilvl w:val="0"/>
          <w:numId w:val="2"/>
        </w:numPr>
        <w:spacing w:line="480" w:lineRule="auto"/>
        <w:contextualSpacing/>
      </w:pPr>
      <w:r>
        <w:t xml:space="preserve">Clarify that </w:t>
      </w:r>
      <w:r w:rsidR="00A00441">
        <w:t>corporations and labor organizations</w:t>
      </w:r>
      <w:r>
        <w:t xml:space="preserve"> are prohibited</w:t>
      </w:r>
      <w:r w:rsidR="00FC0157">
        <w:t xml:space="preserve"> from coercing </w:t>
      </w:r>
      <w:r w:rsidR="00E957FD">
        <w:t xml:space="preserve">their </w:t>
      </w:r>
      <w:r w:rsidR="00FC0157">
        <w:t>employees and members into providin</w:t>
      </w:r>
      <w:r w:rsidR="00E957FD">
        <w:t>g financi</w:t>
      </w:r>
      <w:r w:rsidR="00DA0F93">
        <w:t>al or</w:t>
      </w:r>
      <w:r w:rsidR="00FC0157">
        <w:t xml:space="preserve"> other support for the corporation</w:t>
      </w:r>
      <w:r w:rsidR="00B84AD8">
        <w:t>’s</w:t>
      </w:r>
      <w:r w:rsidR="00FC0157">
        <w:t xml:space="preserve"> or labor organization’s independent political activities. </w:t>
      </w:r>
    </w:p>
    <w:p w:rsidR="00B0324A" w:rsidRDefault="008674B6" w:rsidP="003E685D">
      <w:pPr>
        <w:pStyle w:val="Default"/>
        <w:numPr>
          <w:ilvl w:val="0"/>
          <w:numId w:val="2"/>
        </w:numPr>
        <w:spacing w:line="480" w:lineRule="auto"/>
        <w:contextualSpacing/>
      </w:pPr>
      <w:r>
        <w:t xml:space="preserve">Ensure that the expenditures made by </w:t>
      </w:r>
      <w:r w:rsidR="00F3671C">
        <w:t>s</w:t>
      </w:r>
      <w:r>
        <w:t xml:space="preserve">uper PACs </w:t>
      </w:r>
      <w:r w:rsidR="00754CAA">
        <w:t xml:space="preserve">and other outside spending groups </w:t>
      </w:r>
      <w:r>
        <w:t xml:space="preserve">are truly </w:t>
      </w:r>
      <w:r w:rsidR="00F3671C">
        <w:t>independent of</w:t>
      </w:r>
      <w:r>
        <w:t xml:space="preserve"> federal candidates as required by </w:t>
      </w:r>
      <w:r>
        <w:rPr>
          <w:i/>
        </w:rPr>
        <w:t xml:space="preserve">Citizens United </w:t>
      </w:r>
      <w:r>
        <w:t xml:space="preserve">and its progeny. </w:t>
      </w:r>
    </w:p>
    <w:p w:rsidR="00B0324A" w:rsidRDefault="008E4463" w:rsidP="003E685D">
      <w:pPr>
        <w:pStyle w:val="Default"/>
        <w:spacing w:line="480" w:lineRule="auto"/>
        <w:contextualSpacing/>
      </w:pPr>
      <w:r>
        <w:t>Below, w</w:t>
      </w:r>
      <w:r w:rsidR="005453E3">
        <w:t>e explain why the Commission should</w:t>
      </w:r>
      <w:r w:rsidR="00E23C3F">
        <w:t xml:space="preserve">, after </w:t>
      </w:r>
      <w:r w:rsidR="00154B5F">
        <w:t xml:space="preserve">allowing </w:t>
      </w:r>
      <w:r w:rsidR="00E23C3F">
        <w:t>ample opportunity for public notice and comment,</w:t>
      </w:r>
      <w:r>
        <w:t xml:space="preserve"> </w:t>
      </w:r>
      <w:r w:rsidR="005453E3">
        <w:t>promulgate rule</w:t>
      </w:r>
      <w:r>
        <w:t>s on these critical issues</w:t>
      </w:r>
      <w:r w:rsidR="00EB760E">
        <w:t xml:space="preserve">. </w:t>
      </w:r>
    </w:p>
    <w:p w:rsidR="00B0324A" w:rsidRDefault="00753DCB" w:rsidP="003E685D">
      <w:pPr>
        <w:pStyle w:val="Default"/>
        <w:numPr>
          <w:ilvl w:val="0"/>
          <w:numId w:val="3"/>
        </w:numPr>
        <w:spacing w:line="480" w:lineRule="auto"/>
        <w:contextualSpacing/>
        <w:rPr>
          <w:b/>
        </w:rPr>
      </w:pPr>
      <w:r>
        <w:rPr>
          <w:b/>
        </w:rPr>
        <w:t>Ensuring Full</w:t>
      </w:r>
      <w:r w:rsidR="009F2AD5" w:rsidRPr="00753DCB">
        <w:rPr>
          <w:b/>
        </w:rPr>
        <w:t xml:space="preserve"> Disclosure</w:t>
      </w:r>
      <w:r>
        <w:rPr>
          <w:b/>
        </w:rPr>
        <w:t xml:space="preserve"> of Outside Independent Spending</w:t>
      </w:r>
    </w:p>
    <w:p w:rsidR="00B0324A" w:rsidRDefault="00E957FD" w:rsidP="003E685D">
      <w:pPr>
        <w:pStyle w:val="Default"/>
        <w:spacing w:line="480" w:lineRule="auto"/>
        <w:ind w:firstLine="720"/>
        <w:contextualSpacing/>
      </w:pPr>
      <w:r w:rsidRPr="00E957FD">
        <w:rPr>
          <w:i/>
        </w:rPr>
        <w:t>Citizens United</w:t>
      </w:r>
      <w:r>
        <w:t xml:space="preserve"> upheld the </w:t>
      </w:r>
      <w:r w:rsidR="007027D5">
        <w:t>Act’s disclosure requirements for electioneering communications</w:t>
      </w:r>
      <w:r w:rsidR="00BC14F5">
        <w:t>—including an obligation to disclose donors—</w:t>
      </w:r>
      <w:r w:rsidR="00C525EF">
        <w:t xml:space="preserve">as </w:t>
      </w:r>
      <w:r w:rsidR="006F13F5">
        <w:t>applied to corporations</w:t>
      </w:r>
      <w:r w:rsidR="007027D5">
        <w:t>.</w:t>
      </w:r>
      <w:r w:rsidR="00453E4B">
        <w:rPr>
          <w:rStyle w:val="FootnoteReference"/>
        </w:rPr>
        <w:footnoteReference w:id="13"/>
      </w:r>
      <w:r w:rsidR="00BC14F5">
        <w:t xml:space="preserve">  The </w:t>
      </w:r>
      <w:r>
        <w:lastRenderedPageBreak/>
        <w:t xml:space="preserve">Court </w:t>
      </w:r>
      <w:r w:rsidR="003C0E70">
        <w:t>reasoned</w:t>
      </w:r>
      <w:r w:rsidR="007027D5">
        <w:t xml:space="preserve"> </w:t>
      </w:r>
      <w:r w:rsidR="003C0E70">
        <w:t xml:space="preserve">that the disclosure required by the Act </w:t>
      </w:r>
      <w:r w:rsidR="00BC14F5">
        <w:t>“</w:t>
      </w:r>
      <w:r>
        <w:t>permits citizens and shareholders to react to the speech of cor</w:t>
      </w:r>
      <w:r w:rsidR="00BC14F5">
        <w:t xml:space="preserve">porate entities in a proper way,” and “enables the </w:t>
      </w:r>
      <w:r>
        <w:t>electorate to make informed decisions and give proper weight to different speakers and messages.</w:t>
      </w:r>
      <w:r w:rsidR="007027D5">
        <w:t>”</w:t>
      </w:r>
      <w:r w:rsidR="007027D5">
        <w:rPr>
          <w:rStyle w:val="FootnoteReference"/>
        </w:rPr>
        <w:footnoteReference w:id="14"/>
      </w:r>
      <w:r w:rsidR="007027D5">
        <w:t xml:space="preserve">  </w:t>
      </w:r>
      <w:r w:rsidR="00C525EF">
        <w:t>The public’s “interest in knowing who is speaking about a candidate shortly before an election” is a sufficiently significant interest to warrant disclosure and disclaimers on political advertising.</w:t>
      </w:r>
      <w:r w:rsidR="00C525EF">
        <w:rPr>
          <w:rStyle w:val="FootnoteReference"/>
        </w:rPr>
        <w:footnoteReference w:id="15"/>
      </w:r>
      <w:r w:rsidR="00C525EF">
        <w:t xml:space="preserve">  </w:t>
      </w:r>
      <w:r w:rsidR="00401AFF">
        <w:t>The Court ruled that</w:t>
      </w:r>
      <w:r w:rsidR="00530477">
        <w:t xml:space="preserve"> </w:t>
      </w:r>
      <w:r w:rsidR="003C0E70">
        <w:t xml:space="preserve">unlimited corporate independent political spending </w:t>
      </w:r>
      <w:r w:rsidR="004F1EC3">
        <w:t>must</w:t>
      </w:r>
      <w:r w:rsidR="003C0E70">
        <w:t xml:space="preserve"> be </w:t>
      </w:r>
      <w:r w:rsidR="00B747F3">
        <w:t xml:space="preserve">accompanied </w:t>
      </w:r>
      <w:r w:rsidR="003C0E70">
        <w:t xml:space="preserve">by transparency as to the sources of such spending. </w:t>
      </w:r>
    </w:p>
    <w:p w:rsidR="00B0324A" w:rsidRDefault="00B84AD8" w:rsidP="003E685D">
      <w:pPr>
        <w:pStyle w:val="Default"/>
        <w:spacing w:line="480" w:lineRule="auto"/>
        <w:ind w:firstLine="720"/>
        <w:contextualSpacing/>
      </w:pPr>
      <w:r>
        <w:t xml:space="preserve">Paradoxically, </w:t>
      </w:r>
      <w:r w:rsidR="00530477">
        <w:t>although</w:t>
      </w:r>
      <w:r>
        <w:t xml:space="preserve"> eight Justices endorsed </w:t>
      </w:r>
      <w:r w:rsidR="003C0E70">
        <w:t xml:space="preserve">the Act’s disclosure </w:t>
      </w:r>
      <w:r w:rsidR="00456947">
        <w:t xml:space="preserve">requirements </w:t>
      </w:r>
      <w:r>
        <w:t xml:space="preserve">in </w:t>
      </w:r>
      <w:r w:rsidRPr="00CA2A07">
        <w:rPr>
          <w:i/>
        </w:rPr>
        <w:t>Citizens United</w:t>
      </w:r>
      <w:r>
        <w:t>,</w:t>
      </w:r>
      <w:r w:rsidR="008C48B9">
        <w:t xml:space="preserve"> </w:t>
      </w:r>
      <w:r>
        <w:t>“dark money” groups that do not disclose their donors</w:t>
      </w:r>
      <w:r w:rsidR="00B8307E">
        <w:t xml:space="preserve"> have proliferated</w:t>
      </w:r>
      <w:r w:rsidR="00EB760E">
        <w:t xml:space="preserve">. </w:t>
      </w:r>
      <w:r w:rsidR="008C4102">
        <w:t xml:space="preserve"> </w:t>
      </w:r>
      <w:r w:rsidR="005F0243">
        <w:t xml:space="preserve">With </w:t>
      </w:r>
      <w:r w:rsidR="001C3EA1">
        <w:t>hundreds of millions of dollars</w:t>
      </w:r>
      <w:r w:rsidR="005F0243">
        <w:t xml:space="preserve"> coming from anonymous sources, we are very far from the Court’s vision of a “campaign finance system that pairs corporate independent expenditures with </w:t>
      </w:r>
      <w:r w:rsidR="005F0243" w:rsidRPr="003C0E70">
        <w:rPr>
          <w:i/>
        </w:rPr>
        <w:t>effective</w:t>
      </w:r>
      <w:r w:rsidR="005F0243">
        <w:t xml:space="preserve"> disclosure.”</w:t>
      </w:r>
      <w:r w:rsidR="005F0243">
        <w:rPr>
          <w:rStyle w:val="FootnoteReference"/>
        </w:rPr>
        <w:footnoteReference w:id="16"/>
      </w:r>
      <w:r w:rsidR="005F0243">
        <w:t xml:space="preserve">  </w:t>
      </w:r>
      <w:r w:rsidR="00B6253F">
        <w:t xml:space="preserve">The Commission </w:t>
      </w:r>
      <w:r w:rsidR="00464E1D">
        <w:t>has not implemented</w:t>
      </w:r>
      <w:r w:rsidR="005F0243">
        <w:t xml:space="preserve"> </w:t>
      </w:r>
      <w:r w:rsidR="003C0E70">
        <w:t>“effective”</w:t>
      </w:r>
      <w:r w:rsidR="00B6253F">
        <w:t xml:space="preserve"> disclosure rules addressing these new sources of outside spending</w:t>
      </w:r>
      <w:r w:rsidR="00EB760E">
        <w:t>.</w:t>
      </w:r>
      <w:r w:rsidR="00B6253F">
        <w:t xml:space="preserve"> </w:t>
      </w:r>
      <w:r w:rsidR="008C4102">
        <w:t xml:space="preserve"> </w:t>
      </w:r>
      <w:r w:rsidR="00223A75">
        <w:t xml:space="preserve">The result has been historically low levels of disclosure, which is contrary to the Act and to the Court’s </w:t>
      </w:r>
      <w:r w:rsidR="00530477">
        <w:t>clear</w:t>
      </w:r>
      <w:r w:rsidR="00401AFF">
        <w:t xml:space="preserve"> </w:t>
      </w:r>
      <w:r w:rsidR="00223A75">
        <w:t xml:space="preserve">direction in </w:t>
      </w:r>
      <w:r w:rsidR="00223A75" w:rsidRPr="00D26FEC">
        <w:rPr>
          <w:i/>
        </w:rPr>
        <w:t>Citizens United</w:t>
      </w:r>
      <w:r w:rsidR="00223A75">
        <w:t>.</w:t>
      </w:r>
    </w:p>
    <w:p w:rsidR="00B0324A" w:rsidRDefault="00530477" w:rsidP="003E685D">
      <w:pPr>
        <w:pStyle w:val="Default"/>
        <w:spacing w:line="480" w:lineRule="auto"/>
        <w:ind w:firstLine="720"/>
        <w:contextualSpacing/>
        <w:rPr>
          <w:lang w:bidi="en-US"/>
        </w:rPr>
      </w:pPr>
      <w:r>
        <w:t>It is incumbent upon the Commission to</w:t>
      </w:r>
      <w:r w:rsidR="00221C56">
        <w:t xml:space="preserve"> </w:t>
      </w:r>
      <w:r w:rsidR="00B8307E">
        <w:t xml:space="preserve">ensure that </w:t>
      </w:r>
      <w:r w:rsidR="00221C56">
        <w:t>it</w:t>
      </w:r>
      <w:r w:rsidR="00EF4462">
        <w:t>s disclosure r</w:t>
      </w:r>
      <w:r>
        <w:t>ule</w:t>
      </w:r>
      <w:r w:rsidR="00EF4462">
        <w:t>s</w:t>
      </w:r>
      <w:r w:rsidR="00605F42">
        <w:rPr>
          <w:lang w:bidi="en-US"/>
        </w:rPr>
        <w:t xml:space="preserve"> </w:t>
      </w:r>
      <w:r w:rsidR="00EF4462">
        <w:t>applicable to corporations and labor organizations making</w:t>
      </w:r>
      <w:r w:rsidR="00221C56">
        <w:t xml:space="preserve"> independent expenditures and electioneering communi</w:t>
      </w:r>
      <w:r w:rsidR="00605F42">
        <w:t>cations</w:t>
      </w:r>
      <w:r w:rsidR="00B8307E">
        <w:t xml:space="preserve"> give full effect to the Supreme Court’s ruling</w:t>
      </w:r>
      <w:r w:rsidR="00221C56">
        <w:t>.</w:t>
      </w:r>
      <w:r w:rsidR="00EF4462">
        <w:rPr>
          <w:rStyle w:val="FootnoteReference"/>
        </w:rPr>
        <w:footnoteReference w:id="17"/>
      </w:r>
    </w:p>
    <w:p w:rsidR="00B0324A" w:rsidRDefault="00753DCB" w:rsidP="003E685D">
      <w:pPr>
        <w:pStyle w:val="ListParagraph"/>
        <w:numPr>
          <w:ilvl w:val="0"/>
          <w:numId w:val="3"/>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Preventing </w:t>
      </w:r>
      <w:r w:rsidRPr="00DD3A3D">
        <w:rPr>
          <w:rFonts w:ascii="Times New Roman" w:hAnsi="Times New Roman" w:cs="Times New Roman"/>
          <w:b/>
          <w:sz w:val="24"/>
          <w:szCs w:val="24"/>
        </w:rPr>
        <w:t>Foreign National</w:t>
      </w:r>
      <w:r>
        <w:rPr>
          <w:rFonts w:ascii="Times New Roman" w:hAnsi="Times New Roman" w:cs="Times New Roman"/>
          <w:b/>
          <w:sz w:val="24"/>
          <w:szCs w:val="24"/>
        </w:rPr>
        <w:t>s from</w:t>
      </w:r>
      <w:r w:rsidRPr="00DD3A3D">
        <w:rPr>
          <w:rFonts w:ascii="Times New Roman" w:hAnsi="Times New Roman" w:cs="Times New Roman"/>
          <w:b/>
          <w:sz w:val="24"/>
          <w:szCs w:val="24"/>
        </w:rPr>
        <w:t xml:space="preserve"> </w:t>
      </w:r>
      <w:r>
        <w:rPr>
          <w:rFonts w:ascii="Times New Roman" w:hAnsi="Times New Roman" w:cs="Times New Roman"/>
          <w:b/>
          <w:sz w:val="24"/>
          <w:szCs w:val="24"/>
        </w:rPr>
        <w:t xml:space="preserve">Influencing </w:t>
      </w:r>
      <w:r w:rsidRPr="00DD3A3D">
        <w:rPr>
          <w:rFonts w:ascii="Times New Roman" w:hAnsi="Times New Roman" w:cs="Times New Roman"/>
          <w:b/>
          <w:sz w:val="24"/>
          <w:szCs w:val="24"/>
        </w:rPr>
        <w:t>Federal Elections</w:t>
      </w:r>
    </w:p>
    <w:p w:rsidR="00B0324A" w:rsidRDefault="00A51A43" w:rsidP="003E685D">
      <w:pPr>
        <w:pStyle w:val="Default"/>
        <w:spacing w:line="480" w:lineRule="auto"/>
        <w:ind w:firstLine="720"/>
        <w:contextualSpacing/>
      </w:pPr>
      <w:r>
        <w:t xml:space="preserve">The Commission </w:t>
      </w:r>
      <w:r w:rsidR="00464E1D">
        <w:t xml:space="preserve">should also </w:t>
      </w:r>
      <w:r>
        <w:t xml:space="preserve">address how the </w:t>
      </w:r>
      <w:r w:rsidRPr="00A1107E">
        <w:rPr>
          <w:i/>
        </w:rPr>
        <w:t>Citizens United</w:t>
      </w:r>
      <w:r>
        <w:t xml:space="preserve"> decision affects key provisions of the Act that protect the integrity o</w:t>
      </w:r>
      <w:r w:rsidR="00A1107E">
        <w:t>f the campaign finance system</w:t>
      </w:r>
      <w:r w:rsidR="00EB760E">
        <w:t xml:space="preserve">. </w:t>
      </w:r>
      <w:r w:rsidR="00A1107E">
        <w:t xml:space="preserve">For example, now </w:t>
      </w:r>
      <w:r w:rsidR="00A1107E">
        <w:lastRenderedPageBreak/>
        <w:t xml:space="preserve">that </w:t>
      </w:r>
      <w:r w:rsidR="00A1107E" w:rsidRPr="00A1107E">
        <w:rPr>
          <w:i/>
        </w:rPr>
        <w:t>Citizens United</w:t>
      </w:r>
      <w:r w:rsidR="00A1107E">
        <w:t xml:space="preserve"> has permitted unlimited U.S. corporate independent spending on elections, the Commission </w:t>
      </w:r>
      <w:r w:rsidR="00464E1D">
        <w:t>should</w:t>
      </w:r>
      <w:r w:rsidR="00A1107E">
        <w:t xml:space="preserve"> promulgate rules </w:t>
      </w:r>
      <w:r w:rsidR="0067106C">
        <w:t xml:space="preserve">ensuring that </w:t>
      </w:r>
      <w:r w:rsidR="00B8307E">
        <w:t xml:space="preserve">foreign nationals, </w:t>
      </w:r>
      <w:r w:rsidR="00A1107E">
        <w:t>foreign corporations</w:t>
      </w:r>
      <w:r w:rsidR="00B8307E">
        <w:t>, and foreign governments</w:t>
      </w:r>
      <w:r w:rsidR="00A1107E">
        <w:t xml:space="preserve"> </w:t>
      </w:r>
      <w:r w:rsidR="0067106C">
        <w:t xml:space="preserve">do not </w:t>
      </w:r>
      <w:r w:rsidR="00A1107E">
        <w:t xml:space="preserve">impermissibly </w:t>
      </w:r>
      <w:r w:rsidR="0067106C">
        <w:t xml:space="preserve">influence </w:t>
      </w:r>
      <w:r w:rsidR="00A1107E">
        <w:t>federal elections through their U.S. subsidiaries or affiliates</w:t>
      </w:r>
      <w:r w:rsidR="00EB760E">
        <w:t xml:space="preserve">. </w:t>
      </w:r>
      <w:r w:rsidR="008C4102">
        <w:t xml:space="preserve"> </w:t>
      </w:r>
      <w:r w:rsidR="00A1107E">
        <w:t>T</w:t>
      </w:r>
      <w:r w:rsidR="003E3BD5">
        <w:t>he Act broadly prohibits</w:t>
      </w:r>
      <w:r w:rsidR="0080419E">
        <w:t xml:space="preserve"> foreign nationals from</w:t>
      </w:r>
      <w:r w:rsidR="00335DBF">
        <w:t xml:space="preserve"> “directly or indirectly”</w:t>
      </w:r>
      <w:r w:rsidR="0080419E">
        <w:t xml:space="preserve"> making political contributi</w:t>
      </w:r>
      <w:r w:rsidR="00335DBF">
        <w:t>ons, expenditures and electioneering communications</w:t>
      </w:r>
      <w:r w:rsidR="003E3BD5">
        <w:t>.</w:t>
      </w:r>
      <w:r w:rsidR="00A1107E">
        <w:rPr>
          <w:rStyle w:val="FootnoteReference"/>
        </w:rPr>
        <w:footnoteReference w:id="18"/>
      </w:r>
      <w:r w:rsidR="003E3BD5">
        <w:t xml:space="preserve">  </w:t>
      </w:r>
      <w:r w:rsidR="00335DBF">
        <w:t xml:space="preserve">Before </w:t>
      </w:r>
      <w:r w:rsidR="00335DBF" w:rsidRPr="00364DD1">
        <w:rPr>
          <w:i/>
        </w:rPr>
        <w:t>Citizens United</w:t>
      </w:r>
      <w:r w:rsidR="00335DBF">
        <w:t>, all corporations were prohibited from making these types of disbursements</w:t>
      </w:r>
      <w:r w:rsidR="00EB760E">
        <w:t xml:space="preserve">. </w:t>
      </w:r>
      <w:r w:rsidRPr="00F326E6">
        <w:rPr>
          <w:i/>
        </w:rPr>
        <w:t>Citizens United</w:t>
      </w:r>
      <w:r w:rsidR="00F326E6">
        <w:t>,</w:t>
      </w:r>
      <w:r>
        <w:t xml:space="preserve"> </w:t>
      </w:r>
      <w:r w:rsidR="00A1107E">
        <w:t xml:space="preserve">however, </w:t>
      </w:r>
      <w:r w:rsidR="00335DBF">
        <w:t xml:space="preserve">permitted </w:t>
      </w:r>
      <w:r w:rsidR="00A1107E">
        <w:t>U.S. corporations to engage in independent c</w:t>
      </w:r>
      <w:r w:rsidR="00335DBF">
        <w:t>ampaign-related spending</w:t>
      </w:r>
      <w:r w:rsidR="00EB760E">
        <w:t xml:space="preserve">. </w:t>
      </w:r>
    </w:p>
    <w:p w:rsidR="00B0324A" w:rsidRDefault="00B8307E" w:rsidP="003E685D">
      <w:pPr>
        <w:pStyle w:val="Default"/>
        <w:spacing w:line="480" w:lineRule="auto"/>
        <w:ind w:firstLine="720"/>
        <w:contextualSpacing/>
      </w:pPr>
      <w:r>
        <w:t>Corporations, by their very nature, are designed to be owned and controlled by others</w:t>
      </w:r>
      <w:r w:rsidR="00EB760E">
        <w:t xml:space="preserve">. </w:t>
      </w:r>
      <w:r w:rsidR="00743A6E">
        <w:t xml:space="preserve">Now that </w:t>
      </w:r>
      <w:r w:rsidR="00743A6E" w:rsidRPr="00743A6E">
        <w:rPr>
          <w:i/>
        </w:rPr>
        <w:t>Citizens United</w:t>
      </w:r>
      <w:r w:rsidR="00743A6E">
        <w:t xml:space="preserve"> has permitted independent corporate spending on elections, t</w:t>
      </w:r>
      <w:r w:rsidR="00A1107E">
        <w:t xml:space="preserve">he Commission </w:t>
      </w:r>
      <w:r>
        <w:t xml:space="preserve">must revisit our </w:t>
      </w:r>
      <w:r w:rsidR="00AB0ACC">
        <w:t>implement</w:t>
      </w:r>
      <w:r>
        <w:t xml:space="preserve">ation of </w:t>
      </w:r>
      <w:r w:rsidR="00AB0ACC">
        <w:t xml:space="preserve">the Act’s foreign national prohibition </w:t>
      </w:r>
      <w:r>
        <w:t xml:space="preserve">and </w:t>
      </w:r>
      <w:r w:rsidR="00743A6E">
        <w:t xml:space="preserve">clarify </w:t>
      </w:r>
      <w:r w:rsidR="00207C96">
        <w:t>that</w:t>
      </w:r>
      <w:r w:rsidR="00743A6E">
        <w:t>,</w:t>
      </w:r>
      <w:r w:rsidR="00207C96">
        <w:t xml:space="preserve"> when U.S. companies are owned </w:t>
      </w:r>
      <w:r>
        <w:t>or</w:t>
      </w:r>
      <w:r w:rsidR="00364DD1">
        <w:t xml:space="preserve"> controlled by foreign nationals</w:t>
      </w:r>
      <w:r w:rsidR="004F1EC3">
        <w:t>,</w:t>
      </w:r>
      <w:r w:rsidR="00207C96">
        <w:t xml:space="preserve"> they</w:t>
      </w:r>
      <w:r w:rsidR="00364DD1">
        <w:t xml:space="preserve"> are barred from engaging in election-related spending.</w:t>
      </w:r>
      <w:r w:rsidR="00743A6E">
        <w:rPr>
          <w:rStyle w:val="FootnoteReference"/>
        </w:rPr>
        <w:footnoteReference w:id="19"/>
      </w:r>
      <w:r w:rsidR="00364DD1">
        <w:t xml:space="preserve">  </w:t>
      </w:r>
      <w:r w:rsidR="00207C96">
        <w:t xml:space="preserve">The public </w:t>
      </w:r>
      <w:r w:rsidR="00AB0C19">
        <w:t xml:space="preserve">deserves a say in protecting our democracy from foreign </w:t>
      </w:r>
      <w:r w:rsidR="009D361D">
        <w:t>money</w:t>
      </w:r>
      <w:r w:rsidR="00766B68">
        <w:t xml:space="preserve">, </w:t>
      </w:r>
      <w:r w:rsidR="00207C96">
        <w:t>and U.S. subsidiaries of foreign corporations need to know whether and to what extent they can spend money influencing U.S. elections.</w:t>
      </w:r>
    </w:p>
    <w:p w:rsidR="00B0324A" w:rsidRDefault="00A05501" w:rsidP="003E685D">
      <w:pPr>
        <w:pStyle w:val="Default"/>
        <w:numPr>
          <w:ilvl w:val="0"/>
          <w:numId w:val="3"/>
        </w:numPr>
        <w:spacing w:line="480" w:lineRule="auto"/>
        <w:contextualSpacing/>
        <w:rPr>
          <w:b/>
        </w:rPr>
      </w:pPr>
      <w:r w:rsidRPr="00A05501">
        <w:rPr>
          <w:b/>
        </w:rPr>
        <w:t xml:space="preserve">Protecting Employees </w:t>
      </w:r>
      <w:r w:rsidR="00457401">
        <w:rPr>
          <w:b/>
        </w:rPr>
        <w:t>and Union Members</w:t>
      </w:r>
      <w:r w:rsidRPr="00A05501">
        <w:rPr>
          <w:b/>
        </w:rPr>
        <w:t xml:space="preserve"> From Political Coercion </w:t>
      </w:r>
      <w:r w:rsidR="00753DCB" w:rsidRPr="00A05501">
        <w:rPr>
          <w:b/>
        </w:rPr>
        <w:t xml:space="preserve"> </w:t>
      </w:r>
    </w:p>
    <w:p w:rsidR="00B0324A" w:rsidRDefault="00712C80" w:rsidP="003E685D">
      <w:pPr>
        <w:pStyle w:val="Default"/>
        <w:spacing w:line="480" w:lineRule="auto"/>
        <w:ind w:firstLine="720"/>
        <w:contextualSpacing/>
      </w:pPr>
      <w:r>
        <w:t>T</w:t>
      </w:r>
      <w:r w:rsidR="00A1107E" w:rsidRPr="00A1107E">
        <w:t xml:space="preserve">he Commission </w:t>
      </w:r>
      <w:r w:rsidR="00464E1D">
        <w:t>should</w:t>
      </w:r>
      <w:r w:rsidR="001B617E">
        <w:t xml:space="preserve"> promulgate rules to </w:t>
      </w:r>
      <w:r w:rsidR="007F13C4">
        <w:t xml:space="preserve">more clearly </w:t>
      </w:r>
      <w:r w:rsidR="00A1107E" w:rsidRPr="00A1107E">
        <w:t xml:space="preserve">protect </w:t>
      </w:r>
      <w:r w:rsidR="001B617E">
        <w:t>employees and union members</w:t>
      </w:r>
      <w:r w:rsidR="00A1107E" w:rsidRPr="00A1107E">
        <w:t xml:space="preserve"> </w:t>
      </w:r>
      <w:r w:rsidR="001B617E">
        <w:t xml:space="preserve">from coercion by </w:t>
      </w:r>
      <w:r w:rsidR="00A1107E" w:rsidRPr="00A1107E">
        <w:t>corporations</w:t>
      </w:r>
      <w:r w:rsidR="00E13CCE">
        <w:t xml:space="preserve"> and labor organizations</w:t>
      </w:r>
      <w:r w:rsidR="00A1107E" w:rsidRPr="00A1107E">
        <w:t xml:space="preserve"> </w:t>
      </w:r>
      <w:r w:rsidR="001B617E">
        <w:t>engaged in independent political spending</w:t>
      </w:r>
      <w:r w:rsidR="00EB760E">
        <w:t xml:space="preserve">. </w:t>
      </w:r>
      <w:r w:rsidR="008C4102">
        <w:t xml:space="preserve"> </w:t>
      </w:r>
      <w:r w:rsidR="00364DD1">
        <w:t>The Act prohibit</w:t>
      </w:r>
      <w:r w:rsidR="001E5B72">
        <w:t>s corporations and labor organizations from obtaining funds they may spend on political purposes by “physical force, job discrimination, financial reprisals, or the threat of force, job discrimination, or financial reprisal.”</w:t>
      </w:r>
      <w:r w:rsidR="001E5B72">
        <w:rPr>
          <w:rStyle w:val="FootnoteReference"/>
        </w:rPr>
        <w:footnoteReference w:id="20"/>
      </w:r>
      <w:r w:rsidR="001E5B72">
        <w:t xml:space="preserve"> </w:t>
      </w:r>
      <w:r w:rsidR="00AE5C13">
        <w:t xml:space="preserve"> </w:t>
      </w:r>
      <w:r w:rsidR="00061D8B">
        <w:t xml:space="preserve">Prior to </w:t>
      </w:r>
      <w:r w:rsidR="00061D8B" w:rsidRPr="00061D8B">
        <w:rPr>
          <w:i/>
        </w:rPr>
        <w:t>Citizens United</w:t>
      </w:r>
      <w:r w:rsidR="00061D8B">
        <w:t xml:space="preserve">, separate </w:t>
      </w:r>
      <w:r w:rsidR="00061D8B">
        <w:lastRenderedPageBreak/>
        <w:t xml:space="preserve">segregated funds were the primary vehicles through which corporations and </w:t>
      </w:r>
      <w:r w:rsidR="00E13CCE">
        <w:t xml:space="preserve">labor organizations </w:t>
      </w:r>
      <w:r w:rsidR="00061D8B">
        <w:t xml:space="preserve">could participate in </w:t>
      </w:r>
      <w:r w:rsidR="00357BFC">
        <w:t>f</w:t>
      </w:r>
      <w:r w:rsidR="00061D8B">
        <w:t xml:space="preserve">ederal elections. </w:t>
      </w:r>
      <w:r w:rsidR="008C4102">
        <w:t xml:space="preserve"> </w:t>
      </w:r>
      <w:r w:rsidR="00061D8B">
        <w:t>Thus,</w:t>
      </w:r>
      <w:r w:rsidR="00333B7E">
        <w:t xml:space="preserve"> the Act’s prohibition on coercion applied to the funds maintained in such separate segregated funds</w:t>
      </w:r>
      <w:r w:rsidR="00EB760E">
        <w:t xml:space="preserve">. </w:t>
      </w:r>
      <w:r w:rsidR="008C4102">
        <w:t xml:space="preserve"> </w:t>
      </w:r>
      <w:r w:rsidR="00C82CBC">
        <w:t>The Commission, however, has also interpreted the Act to generally prohibit the use of “coercion, such as the threat of a detrimental job action,” to induce “any individual to make a contribution…”</w:t>
      </w:r>
      <w:r w:rsidR="00C82CBC">
        <w:rPr>
          <w:rStyle w:val="FootnoteReference"/>
        </w:rPr>
        <w:footnoteReference w:id="21"/>
      </w:r>
      <w:r w:rsidR="00061D8B">
        <w:t xml:space="preserve">  </w:t>
      </w:r>
      <w:r w:rsidR="001C4F46">
        <w:t>This approach is wholly consistent with Congress’s intent to ensure that corporate employees and union members aid their employers’ and unions’ political activities only when their support is truly voluntary</w:t>
      </w:r>
      <w:r w:rsidR="00EB760E">
        <w:t xml:space="preserve">. </w:t>
      </w:r>
    </w:p>
    <w:p w:rsidR="00B0324A" w:rsidRDefault="00061D8B" w:rsidP="003E685D">
      <w:pPr>
        <w:pStyle w:val="Default"/>
        <w:spacing w:line="480" w:lineRule="auto"/>
        <w:ind w:firstLine="720"/>
        <w:contextualSpacing/>
      </w:pPr>
      <w:r>
        <w:t>N</w:t>
      </w:r>
      <w:r w:rsidR="0076077E">
        <w:t xml:space="preserve">othing in </w:t>
      </w:r>
      <w:r w:rsidR="0076077E" w:rsidRPr="0076077E">
        <w:rPr>
          <w:i/>
        </w:rPr>
        <w:t>Citizens United</w:t>
      </w:r>
      <w:r w:rsidR="0076077E">
        <w:t xml:space="preserve"> suggests that the Court intended to expand the rights of corporations and </w:t>
      </w:r>
      <w:r w:rsidR="00E13CCE">
        <w:t xml:space="preserve">labor organizations </w:t>
      </w:r>
      <w:r w:rsidR="0076077E">
        <w:t>at the expense of their employees’ and members’ longstanding rights to be free from coercion and to express or decline to express their own political views</w:t>
      </w:r>
      <w:r w:rsidR="00EB760E">
        <w:t xml:space="preserve">. </w:t>
      </w:r>
      <w:r w:rsidR="008C4102">
        <w:t xml:space="preserve"> </w:t>
      </w:r>
      <w:r>
        <w:t xml:space="preserve">However, the Commission has not issued new rules that specifically prohibit </w:t>
      </w:r>
      <w:r w:rsidR="001C4F46">
        <w:t xml:space="preserve">corporate and labor </w:t>
      </w:r>
      <w:r w:rsidR="00E13CCE">
        <w:t xml:space="preserve">organization </w:t>
      </w:r>
      <w:r w:rsidR="001C4F46">
        <w:t>coercion of employees and members in order to support independent political spending</w:t>
      </w:r>
      <w:r w:rsidR="00EB760E">
        <w:t xml:space="preserve">. </w:t>
      </w:r>
      <w:r w:rsidR="008C4102">
        <w:t xml:space="preserve"> </w:t>
      </w:r>
      <w:r w:rsidR="0076077E">
        <w:t>The Commission should therefore promulgate new rules</w:t>
      </w:r>
      <w:r w:rsidR="00E86108">
        <w:rPr>
          <w:rStyle w:val="FootnoteReference"/>
        </w:rPr>
        <w:footnoteReference w:id="22"/>
      </w:r>
      <w:r w:rsidR="0076077E">
        <w:t xml:space="preserve"> </w:t>
      </w:r>
      <w:r w:rsidR="007F13C4">
        <w:t xml:space="preserve">confirming </w:t>
      </w:r>
      <w:r w:rsidR="0076077E">
        <w:t xml:space="preserve">that corporations and </w:t>
      </w:r>
      <w:r w:rsidR="00E13CCE">
        <w:t xml:space="preserve">labor organizations </w:t>
      </w:r>
      <w:r w:rsidR="0076077E">
        <w:t>may not</w:t>
      </w:r>
      <w:r w:rsidR="001C4F46">
        <w:t xml:space="preserve"> coerce</w:t>
      </w:r>
      <w:r w:rsidR="0076077E">
        <w:t xml:space="preserve"> employees and union members to support, financially or o</w:t>
      </w:r>
      <w:r>
        <w:t xml:space="preserve">therwise, </w:t>
      </w:r>
      <w:r w:rsidR="0076077E">
        <w:t xml:space="preserve">corporate or union independent political spending permitted under </w:t>
      </w:r>
      <w:r w:rsidR="0076077E" w:rsidRPr="0076077E">
        <w:rPr>
          <w:i/>
        </w:rPr>
        <w:t>Citizens United</w:t>
      </w:r>
      <w:r w:rsidR="00EB760E">
        <w:t>.</w:t>
      </w:r>
    </w:p>
    <w:p w:rsidR="00B0324A" w:rsidRDefault="00B73CB4" w:rsidP="003E685D">
      <w:pPr>
        <w:pStyle w:val="Default"/>
        <w:numPr>
          <w:ilvl w:val="0"/>
          <w:numId w:val="3"/>
        </w:numPr>
        <w:spacing w:line="480" w:lineRule="auto"/>
        <w:contextualSpacing/>
        <w:rPr>
          <w:b/>
        </w:rPr>
      </w:pPr>
      <w:r>
        <w:rPr>
          <w:b/>
        </w:rPr>
        <w:t xml:space="preserve">Ensuring the Independence of Independent Expenditures. </w:t>
      </w:r>
    </w:p>
    <w:p w:rsidR="00B0324A" w:rsidRDefault="001F52B9" w:rsidP="003E685D">
      <w:pPr>
        <w:pStyle w:val="Default"/>
        <w:spacing w:line="480" w:lineRule="auto"/>
        <w:ind w:firstLine="720"/>
        <w:contextualSpacing/>
      </w:pPr>
      <w:r>
        <w:t xml:space="preserve">The </w:t>
      </w:r>
      <w:r w:rsidR="001C210A">
        <w:t xml:space="preserve">creation of </w:t>
      </w:r>
      <w:r>
        <w:t>super PAC</w:t>
      </w:r>
      <w:r w:rsidR="001C210A">
        <w:t>s</w:t>
      </w:r>
      <w:r>
        <w:t xml:space="preserve"> </w:t>
      </w:r>
      <w:r w:rsidR="001C210A">
        <w:t>was a direct result</w:t>
      </w:r>
      <w:r>
        <w:t xml:space="preserve"> of the reasoning </w:t>
      </w:r>
      <w:r w:rsidR="001C210A">
        <w:t>of</w:t>
      </w:r>
      <w:r>
        <w:t xml:space="preserve"> </w:t>
      </w:r>
      <w:r>
        <w:rPr>
          <w:i/>
        </w:rPr>
        <w:t xml:space="preserve">Citizens United </w:t>
      </w:r>
      <w:r>
        <w:t xml:space="preserve">that truly independent expenditures </w:t>
      </w:r>
      <w:r w:rsidR="001C210A">
        <w:t>do not give rise to</w:t>
      </w:r>
      <w:r>
        <w:t xml:space="preserve"> corruption </w:t>
      </w:r>
      <w:r w:rsidR="001C210A">
        <w:t>and therefore may not be limited</w:t>
      </w:r>
      <w:r w:rsidR="00EB760E">
        <w:t xml:space="preserve">. </w:t>
      </w:r>
      <w:r w:rsidR="008C4102">
        <w:t xml:space="preserve"> </w:t>
      </w:r>
      <w:r w:rsidRPr="000129E2">
        <w:t xml:space="preserve">In </w:t>
      </w:r>
      <w:proofErr w:type="spellStart"/>
      <w:r w:rsidR="002D2120" w:rsidRPr="002D2120">
        <w:rPr>
          <w:i/>
        </w:rPr>
        <w:t>SpeechNow</w:t>
      </w:r>
      <w:proofErr w:type="spellEnd"/>
      <w:r w:rsidRPr="000129E2">
        <w:t xml:space="preserve">, the </w:t>
      </w:r>
      <w:r w:rsidR="00E45447">
        <w:t xml:space="preserve">D.C. Circuit Court of Appeals </w:t>
      </w:r>
      <w:r w:rsidRPr="000129E2">
        <w:t xml:space="preserve">relied on </w:t>
      </w:r>
      <w:r w:rsidR="00D24848">
        <w:t>that</w:t>
      </w:r>
      <w:r w:rsidR="00E45447">
        <w:t xml:space="preserve"> reasoning,</w:t>
      </w:r>
      <w:r w:rsidR="002D2120" w:rsidRPr="002D2120">
        <w:t xml:space="preserve"> </w:t>
      </w:r>
      <w:r w:rsidRPr="000129E2">
        <w:t xml:space="preserve">noting that “[t]he </w:t>
      </w:r>
      <w:r w:rsidRPr="000129E2">
        <w:lastRenderedPageBreak/>
        <w:t xml:space="preserve">independence of independent expenditures was a central consideration” in </w:t>
      </w:r>
      <w:r w:rsidR="00E45447">
        <w:rPr>
          <w:i/>
        </w:rPr>
        <w:t>Citizens United</w:t>
      </w:r>
      <w:r w:rsidR="000E7AD4" w:rsidRPr="00D64796">
        <w:t>.</w:t>
      </w:r>
      <w:r w:rsidR="000E7AD4" w:rsidRPr="00D64796">
        <w:rPr>
          <w:rStyle w:val="FootnoteReference"/>
        </w:rPr>
        <w:footnoteReference w:id="23"/>
      </w:r>
      <w:r w:rsidR="000E7AD4" w:rsidRPr="00D64796">
        <w:t xml:space="preserve"> </w:t>
      </w:r>
      <w:r w:rsidR="008C4102">
        <w:t xml:space="preserve"> </w:t>
      </w:r>
      <w:r>
        <w:t xml:space="preserve">In </w:t>
      </w:r>
      <w:r w:rsidR="002D2120" w:rsidRPr="002D2120">
        <w:rPr>
          <w:i/>
        </w:rPr>
        <w:t>Carey v. FEC</w:t>
      </w:r>
      <w:r w:rsidR="002D2120" w:rsidRPr="002D2120">
        <w:t>,</w:t>
      </w:r>
      <w:r>
        <w:t xml:space="preserve"> the </w:t>
      </w:r>
      <w:r w:rsidR="00846902">
        <w:t xml:space="preserve">D.C. </w:t>
      </w:r>
      <w:r w:rsidR="00357BFC">
        <w:t>District Court</w:t>
      </w:r>
      <w:r w:rsidR="00846902">
        <w:t xml:space="preserve"> applied these previous decisions </w:t>
      </w:r>
      <w:r>
        <w:t>to invalidate contribution limits when the independent expenditure is “wholly separate from f</w:t>
      </w:r>
      <w:r w:rsidR="00F124CA">
        <w:t>ederal candidates or parties.”</w:t>
      </w:r>
      <w:r w:rsidR="00F124CA">
        <w:rPr>
          <w:rStyle w:val="FootnoteReference"/>
        </w:rPr>
        <w:footnoteReference w:id="24"/>
      </w:r>
    </w:p>
    <w:p w:rsidR="00B0324A" w:rsidRDefault="00906ED5" w:rsidP="003E685D">
      <w:pPr>
        <w:pStyle w:val="Default"/>
        <w:spacing w:line="480" w:lineRule="auto"/>
        <w:ind w:firstLine="720"/>
        <w:contextualSpacing/>
      </w:pPr>
      <w:r w:rsidRPr="00550CF1">
        <w:t xml:space="preserve">The emergence of super PACs </w:t>
      </w:r>
      <w:r w:rsidR="00615934">
        <w:t xml:space="preserve">and other outside spending groups </w:t>
      </w:r>
      <w:r w:rsidRPr="00550CF1">
        <w:t>that appear to have close ties to particular</w:t>
      </w:r>
      <w:r w:rsidR="00712C80">
        <w:t>, individual</w:t>
      </w:r>
      <w:r w:rsidRPr="00550CF1">
        <w:t xml:space="preserve"> </w:t>
      </w:r>
      <w:r w:rsidR="00357BFC">
        <w:t>f</w:t>
      </w:r>
      <w:r w:rsidRPr="00550CF1">
        <w:t>ederal candidate</w:t>
      </w:r>
      <w:r w:rsidR="00712C80">
        <w:t>s</w:t>
      </w:r>
      <w:r w:rsidRPr="00550CF1">
        <w:t xml:space="preserve"> raises the question of whether the Commission’s regulations effectively ensure the independence </w:t>
      </w:r>
      <w:r w:rsidR="005A6265" w:rsidRPr="005A6265">
        <w:t xml:space="preserve">of candidates and </w:t>
      </w:r>
      <w:r w:rsidR="00615934">
        <w:t xml:space="preserve">these outside groups, as required by the </w:t>
      </w:r>
      <w:r w:rsidR="000E7AD4" w:rsidRPr="000E7AD4">
        <w:rPr>
          <w:i/>
        </w:rPr>
        <w:t>Citizens United</w:t>
      </w:r>
      <w:r w:rsidR="00615934">
        <w:t xml:space="preserve"> decision</w:t>
      </w:r>
      <w:r w:rsidR="00EB760E">
        <w:t>.</w:t>
      </w:r>
      <w:r w:rsidR="00F435DE">
        <w:t xml:space="preserve"> </w:t>
      </w:r>
    </w:p>
    <w:p w:rsidR="00B0324A" w:rsidRDefault="000F53AF" w:rsidP="003E685D">
      <w:pPr>
        <w:pStyle w:val="Default"/>
        <w:spacing w:line="480" w:lineRule="auto"/>
        <w:ind w:firstLine="720"/>
        <w:contextualSpacing/>
      </w:pPr>
      <w:r>
        <w:t>The Commission’s reg</w:t>
      </w:r>
      <w:r w:rsidR="00977731">
        <w:t xml:space="preserve">ulations </w:t>
      </w:r>
      <w:r w:rsidR="001C210A">
        <w:t xml:space="preserve">should be revised to fully and clearly </w:t>
      </w:r>
      <w:r w:rsidR="006D0581">
        <w:t>prohibit</w:t>
      </w:r>
      <w:r w:rsidR="001C210A">
        <w:t xml:space="preserve"> </w:t>
      </w:r>
      <w:r w:rsidR="00CB1D61">
        <w:t xml:space="preserve">coordination </w:t>
      </w:r>
      <w:r w:rsidR="001C210A">
        <w:t>between candidates and</w:t>
      </w:r>
      <w:r w:rsidR="00CB1D61">
        <w:t xml:space="preserve"> </w:t>
      </w:r>
      <w:r w:rsidR="001F67FA">
        <w:t>outside spending groups</w:t>
      </w:r>
      <w:r w:rsidR="00CB1D61">
        <w:t xml:space="preserve"> </w:t>
      </w:r>
      <w:r w:rsidR="001C210A">
        <w:t xml:space="preserve">with which they are </w:t>
      </w:r>
      <w:r w:rsidR="00CB1D61">
        <w:t>close</w:t>
      </w:r>
      <w:r w:rsidR="001C210A">
        <w:t>ly</w:t>
      </w:r>
      <w:r w:rsidR="00CB1D61">
        <w:t xml:space="preserve"> associat</w:t>
      </w:r>
      <w:r w:rsidR="001C210A">
        <w:t>ed</w:t>
      </w:r>
      <w:r w:rsidR="00CB1D61">
        <w:t>.</w:t>
      </w:r>
      <w:r w:rsidR="00410BF4">
        <w:t xml:space="preserve">  </w:t>
      </w:r>
      <w:r w:rsidR="009C2746">
        <w:t>In so doing, t</w:t>
      </w:r>
      <w:r w:rsidR="0022257A">
        <w:t xml:space="preserve">he Commission should adopt </w:t>
      </w:r>
      <w:r w:rsidR="009C2746">
        <w:t xml:space="preserve">rules that </w:t>
      </w:r>
      <w:r w:rsidR="0022257A">
        <w:t>prohibit candidates from attendin</w:t>
      </w:r>
      <w:r w:rsidR="001551E2">
        <w:t>g super PAC fundraising events</w:t>
      </w:r>
      <w:r w:rsidR="0022257A">
        <w:t xml:space="preserve">.  The Commission should also </w:t>
      </w:r>
      <w:r w:rsidR="009801A7">
        <w:t>adopt rules that deem all spending by outside groups that effectively operate as</w:t>
      </w:r>
      <w:r w:rsidR="009801A7" w:rsidRPr="009801A7">
        <w:t xml:space="preserve"> </w:t>
      </w:r>
      <w:r w:rsidR="009801A7">
        <w:t>“</w:t>
      </w:r>
      <w:r w:rsidR="009801A7" w:rsidRPr="009801A7">
        <w:t>the alter ego of a candidate</w:t>
      </w:r>
      <w:r w:rsidR="009801A7">
        <w:t>” as coordinated spending.</w:t>
      </w:r>
      <w:r w:rsidR="001551E2">
        <w:rPr>
          <w:rStyle w:val="FootnoteReference"/>
        </w:rPr>
        <w:footnoteReference w:id="25"/>
      </w:r>
      <w:r w:rsidR="005331FD">
        <w:t xml:space="preserve">  Finally, the Commission should </w:t>
      </w:r>
      <w:r w:rsidR="009801A7">
        <w:t xml:space="preserve">look to the states for </w:t>
      </w:r>
      <w:r w:rsidR="00AD44DF">
        <w:t>i</w:t>
      </w:r>
      <w:r w:rsidR="005331FD">
        <w:t xml:space="preserve">nnovative solutions to ensure that spending by </w:t>
      </w:r>
      <w:r w:rsidR="00AD44DF">
        <w:t>outside groups looking to influence elections</w:t>
      </w:r>
      <w:r w:rsidR="005331FD">
        <w:t xml:space="preserve"> is truly independent</w:t>
      </w:r>
      <w:r w:rsidR="00AD44DF">
        <w:t>.</w:t>
      </w:r>
      <w:r w:rsidR="00AD44DF">
        <w:rPr>
          <w:rStyle w:val="FootnoteReference"/>
        </w:rPr>
        <w:footnoteReference w:id="26"/>
      </w:r>
      <w:r w:rsidR="00AD44DF">
        <w:t xml:space="preserve"> </w:t>
      </w:r>
    </w:p>
    <w:p w:rsidR="00B0324A" w:rsidRDefault="00E13CCE" w:rsidP="003E685D">
      <w:pPr>
        <w:pStyle w:val="Default"/>
        <w:spacing w:line="480" w:lineRule="auto"/>
        <w:ind w:firstLine="720"/>
        <w:contextualSpacing/>
        <w:jc w:val="center"/>
      </w:pPr>
      <w:r>
        <w:t>*</w:t>
      </w:r>
      <w:r>
        <w:tab/>
        <w:t>*</w:t>
      </w:r>
      <w:r>
        <w:tab/>
        <w:t>*</w:t>
      </w:r>
    </w:p>
    <w:p w:rsidR="00B0324A" w:rsidRDefault="004F1EC3" w:rsidP="003E685D">
      <w:pPr>
        <w:pStyle w:val="Default"/>
        <w:spacing w:line="480" w:lineRule="auto"/>
        <w:ind w:firstLine="720"/>
        <w:contextualSpacing/>
      </w:pPr>
      <w:r>
        <w:t>The Commission</w:t>
      </w:r>
      <w:r w:rsidR="003D7AE9">
        <w:t xml:space="preserve"> has a crucial role to play in </w:t>
      </w:r>
      <w:r w:rsidR="00DB259C">
        <w:t xml:space="preserve">implementing the </w:t>
      </w:r>
      <w:r w:rsidR="00DB259C" w:rsidRPr="00EC5E53">
        <w:rPr>
          <w:i/>
        </w:rPr>
        <w:t>Citizens United</w:t>
      </w:r>
      <w:r w:rsidR="00DB259C">
        <w:t xml:space="preserve"> decision and </w:t>
      </w:r>
      <w:r w:rsidR="003D7AE9">
        <w:t>ensuring that the public is informed about who is funding political advertising</w:t>
      </w:r>
      <w:r w:rsidR="00EB760E">
        <w:t xml:space="preserve">. </w:t>
      </w:r>
      <w:r w:rsidR="008C4102">
        <w:t xml:space="preserve"> </w:t>
      </w:r>
      <w:r>
        <w:t>W</w:t>
      </w:r>
      <w:r w:rsidR="00E86108">
        <w:t xml:space="preserve">e </w:t>
      </w:r>
      <w:r>
        <w:t xml:space="preserve">therefore </w:t>
      </w:r>
      <w:r w:rsidR="00E86108">
        <w:lastRenderedPageBreak/>
        <w:t xml:space="preserve">petition the Commission </w:t>
      </w:r>
      <w:r w:rsidR="005445C6">
        <w:t>to act quickly in requiring disclosure of independent political spending</w:t>
      </w:r>
      <w:r w:rsidR="006D0581">
        <w:t xml:space="preserve">, and </w:t>
      </w:r>
      <w:r w:rsidR="005445C6">
        <w:t>prohibiting foreign national corporate spending</w:t>
      </w:r>
      <w:r w:rsidR="006D0581">
        <w:t xml:space="preserve">, </w:t>
      </w:r>
      <w:r w:rsidR="005445C6">
        <w:t>the coercion of employees and union members</w:t>
      </w:r>
      <w:r w:rsidR="006D0581">
        <w:t>, and coordination between candidates and outside spending groups</w:t>
      </w:r>
      <w:r w:rsidR="00EB760E">
        <w:t xml:space="preserve">. </w:t>
      </w:r>
      <w:r w:rsidR="008C4102">
        <w:t xml:space="preserve"> </w:t>
      </w:r>
      <w:r w:rsidR="00E62C61">
        <w:t>We welcome public comment on how to craft clear regulations addressing each of the issues raised in this petition.</w:t>
      </w:r>
      <w:r w:rsidR="00EB760E">
        <w:t xml:space="preserve"> </w:t>
      </w:r>
    </w:p>
    <w:p w:rsidR="00B0324A" w:rsidRDefault="00B0324A" w:rsidP="003E685D">
      <w:pPr>
        <w:pStyle w:val="Default"/>
        <w:spacing w:line="480" w:lineRule="auto"/>
        <w:ind w:firstLine="720"/>
        <w:contextualSpacing/>
      </w:pPr>
    </w:p>
    <w:p w:rsidR="00B0324A" w:rsidRDefault="000A4068" w:rsidP="003E685D">
      <w:pPr>
        <w:pStyle w:val="Default"/>
        <w:spacing w:line="360" w:lineRule="auto"/>
        <w:ind w:left="5040"/>
      </w:pPr>
      <w:r>
        <w:t>Respectfully submitted,</w:t>
      </w:r>
    </w:p>
    <w:p w:rsidR="00B0324A" w:rsidRDefault="000A4068" w:rsidP="003E685D">
      <w:pPr>
        <w:pStyle w:val="Default"/>
        <w:spacing w:line="360" w:lineRule="auto"/>
        <w:ind w:left="5040"/>
      </w:pPr>
      <w:r>
        <w:t>Ann M. Ravel</w:t>
      </w:r>
    </w:p>
    <w:p w:rsidR="003A2CF0" w:rsidRDefault="000A4068" w:rsidP="003E685D">
      <w:pPr>
        <w:pStyle w:val="Default"/>
        <w:spacing w:line="360" w:lineRule="auto"/>
        <w:ind w:left="5040"/>
      </w:pPr>
      <w:r>
        <w:t>Ellen L. Weintraub</w:t>
      </w:r>
    </w:p>
    <w:sectPr w:rsidR="003A2CF0" w:rsidSect="00D335C4">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256" w:rsidRDefault="00EE2256" w:rsidP="00162C2D">
      <w:pPr>
        <w:spacing w:after="0" w:line="240" w:lineRule="auto"/>
      </w:pPr>
      <w:r>
        <w:separator/>
      </w:r>
    </w:p>
  </w:endnote>
  <w:endnote w:type="continuationSeparator" w:id="0">
    <w:p w:rsidR="00EE2256" w:rsidRDefault="00EE2256" w:rsidP="00162C2D">
      <w:pPr>
        <w:spacing w:after="0" w:line="240" w:lineRule="auto"/>
      </w:pPr>
      <w:r>
        <w:continuationSeparator/>
      </w:r>
    </w:p>
  </w:endnote>
  <w:endnote w:type="continuationNotice" w:id="1">
    <w:p w:rsidR="00EE2256" w:rsidRDefault="00EE22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66081"/>
      <w:docPartObj>
        <w:docPartGallery w:val="Page Numbers (Bottom of Page)"/>
        <w:docPartUnique/>
      </w:docPartObj>
    </w:sdtPr>
    <w:sdtEndPr/>
    <w:sdtContent>
      <w:p w:rsidR="00D335C4" w:rsidRDefault="004E0B7F">
        <w:pPr>
          <w:pStyle w:val="Footer"/>
          <w:jc w:val="right"/>
        </w:pPr>
        <w:r>
          <w:fldChar w:fldCharType="begin"/>
        </w:r>
        <w:r w:rsidR="00D335C4">
          <w:instrText xml:space="preserve"> PAGE   \* MERGEFORMAT </w:instrText>
        </w:r>
        <w:r>
          <w:fldChar w:fldCharType="separate"/>
        </w:r>
        <w:r w:rsidR="003E685D">
          <w:rPr>
            <w:noProof/>
          </w:rPr>
          <w:t>1</w:t>
        </w:r>
        <w:r>
          <w:fldChar w:fldCharType="end"/>
        </w:r>
      </w:p>
    </w:sdtContent>
  </w:sdt>
  <w:p w:rsidR="00D335C4" w:rsidRDefault="00D33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256" w:rsidRDefault="00EE2256" w:rsidP="00162C2D">
      <w:pPr>
        <w:spacing w:after="0" w:line="240" w:lineRule="auto"/>
      </w:pPr>
      <w:r>
        <w:separator/>
      </w:r>
    </w:p>
  </w:footnote>
  <w:footnote w:type="continuationSeparator" w:id="0">
    <w:p w:rsidR="00EE2256" w:rsidRDefault="00EE2256" w:rsidP="00162C2D">
      <w:pPr>
        <w:spacing w:after="0" w:line="240" w:lineRule="auto"/>
      </w:pPr>
      <w:r>
        <w:continuationSeparator/>
      </w:r>
    </w:p>
  </w:footnote>
  <w:footnote w:type="continuationNotice" w:id="1">
    <w:p w:rsidR="00EE2256" w:rsidRDefault="00EE2256">
      <w:pPr>
        <w:spacing w:after="0" w:line="240" w:lineRule="auto"/>
      </w:pPr>
    </w:p>
  </w:footnote>
  <w:footnote w:id="2">
    <w:p w:rsidR="001551E2" w:rsidRPr="0036195E" w:rsidRDefault="001551E2" w:rsidP="00FF084C">
      <w:pPr>
        <w:pStyle w:val="FootnoteText"/>
        <w:rPr>
          <w:rFonts w:ascii="Times New Roman" w:hAnsi="Times New Roman" w:cs="Times New Roman"/>
        </w:rPr>
      </w:pPr>
      <w:r w:rsidRPr="0036195E">
        <w:rPr>
          <w:rStyle w:val="FootnoteReference"/>
          <w:rFonts w:ascii="Times New Roman" w:hAnsi="Times New Roman" w:cs="Times New Roman"/>
        </w:rPr>
        <w:footnoteRef/>
      </w:r>
      <w:r w:rsidRPr="0036195E">
        <w:rPr>
          <w:rFonts w:ascii="Times New Roman" w:hAnsi="Times New Roman" w:cs="Times New Roman"/>
        </w:rPr>
        <w:t xml:space="preserve"> </w:t>
      </w:r>
      <w:proofErr w:type="gramStart"/>
      <w:r w:rsidRPr="0036195E">
        <w:rPr>
          <w:rFonts w:ascii="Times New Roman" w:hAnsi="Times New Roman" w:cs="Times New Roman"/>
        </w:rPr>
        <w:t>558 U.S. 310 (2010).</w:t>
      </w:r>
      <w:proofErr w:type="gramEnd"/>
    </w:p>
    <w:p w:rsidR="0036195E" w:rsidRPr="0036195E" w:rsidRDefault="0036195E" w:rsidP="00FF084C">
      <w:pPr>
        <w:pStyle w:val="FootnoteText"/>
        <w:rPr>
          <w:rFonts w:ascii="Times New Roman" w:hAnsi="Times New Roman" w:cs="Times New Roman"/>
        </w:rPr>
      </w:pPr>
    </w:p>
  </w:footnote>
  <w:footnote w:id="3">
    <w:p w:rsidR="001551E2" w:rsidRPr="0036195E" w:rsidRDefault="000E7AD4">
      <w:pPr>
        <w:pStyle w:val="FootnoteText"/>
        <w:rPr>
          <w:rFonts w:ascii="Times New Roman" w:hAnsi="Times New Roman" w:cs="Times New Roman"/>
          <w:bCs/>
        </w:rPr>
      </w:pPr>
      <w:r w:rsidRPr="0036195E">
        <w:rPr>
          <w:rStyle w:val="FootnoteReference"/>
          <w:rFonts w:ascii="Times New Roman" w:hAnsi="Times New Roman"/>
        </w:rPr>
        <w:footnoteRef/>
      </w:r>
      <w:r w:rsidRPr="0036195E">
        <w:rPr>
          <w:rFonts w:ascii="Times New Roman" w:hAnsi="Times New Roman"/>
        </w:rPr>
        <w:t xml:space="preserve"> </w:t>
      </w:r>
      <w:r w:rsidR="001551E2" w:rsidRPr="0036195E">
        <w:rPr>
          <w:rFonts w:ascii="Times New Roman" w:hAnsi="Times New Roman" w:cs="Times New Roman"/>
          <w:i/>
        </w:rPr>
        <w:t xml:space="preserve">See </w:t>
      </w:r>
      <w:r w:rsidR="001551E2" w:rsidRPr="0036195E">
        <w:rPr>
          <w:rFonts w:ascii="Times New Roman" w:hAnsi="Times New Roman" w:cs="Times New Roman"/>
          <w:i/>
          <w:iCs/>
        </w:rPr>
        <w:t>SpeechNow.org v. FEC</w:t>
      </w:r>
      <w:r w:rsidR="001551E2" w:rsidRPr="0036195E">
        <w:rPr>
          <w:rFonts w:ascii="Times New Roman" w:hAnsi="Times New Roman" w:cs="Times New Roman"/>
        </w:rPr>
        <w:t>, 599 F.3d. 686 (2010) (“</w:t>
      </w:r>
      <w:proofErr w:type="spellStart"/>
      <w:r w:rsidRPr="0036195E">
        <w:rPr>
          <w:rFonts w:ascii="Times New Roman" w:hAnsi="Times New Roman" w:cs="Times New Roman"/>
          <w:i/>
        </w:rPr>
        <w:t>SpeechNow</w:t>
      </w:r>
      <w:proofErr w:type="spellEnd"/>
      <w:r w:rsidR="001551E2" w:rsidRPr="0036195E">
        <w:rPr>
          <w:rFonts w:ascii="Times New Roman" w:hAnsi="Times New Roman" w:cs="Times New Roman"/>
        </w:rPr>
        <w:t xml:space="preserve">”); </w:t>
      </w:r>
      <w:r w:rsidR="001551E2" w:rsidRPr="0036195E">
        <w:rPr>
          <w:rFonts w:ascii="Times New Roman" w:hAnsi="Times New Roman" w:cs="Times New Roman"/>
          <w:i/>
        </w:rPr>
        <w:t xml:space="preserve">Carey v. FEC, </w:t>
      </w:r>
      <w:r w:rsidR="001551E2" w:rsidRPr="0036195E">
        <w:rPr>
          <w:rFonts w:ascii="Times New Roman" w:hAnsi="Times New Roman" w:cs="Times New Roman"/>
          <w:bCs/>
        </w:rPr>
        <w:t>791 F.Supp.2d 121 (2011).</w:t>
      </w:r>
    </w:p>
    <w:p w:rsidR="0036195E" w:rsidRPr="0036195E" w:rsidRDefault="0036195E">
      <w:pPr>
        <w:pStyle w:val="FootnoteText"/>
        <w:rPr>
          <w:rFonts w:ascii="Times New Roman" w:hAnsi="Times New Roman" w:cs="Times New Roman"/>
        </w:rPr>
      </w:pPr>
    </w:p>
  </w:footnote>
  <w:footnote w:id="4">
    <w:p w:rsidR="001551E2" w:rsidRPr="0036195E" w:rsidRDefault="001551E2">
      <w:pPr>
        <w:pStyle w:val="FootnoteText"/>
        <w:rPr>
          <w:rFonts w:ascii="Times New Roman" w:hAnsi="Times New Roman" w:cs="Times New Roman"/>
        </w:rPr>
      </w:pPr>
      <w:r w:rsidRPr="0036195E">
        <w:rPr>
          <w:rStyle w:val="FootnoteReference"/>
          <w:rFonts w:ascii="Times New Roman" w:hAnsi="Times New Roman" w:cs="Times New Roman"/>
        </w:rPr>
        <w:footnoteRef/>
      </w:r>
      <w:r w:rsidRPr="0036195E">
        <w:rPr>
          <w:rFonts w:ascii="Times New Roman" w:hAnsi="Times New Roman" w:cs="Times New Roman"/>
        </w:rPr>
        <w:t xml:space="preserve"> </w:t>
      </w:r>
      <w:r w:rsidRPr="0036195E">
        <w:rPr>
          <w:rFonts w:ascii="Times New Roman" w:hAnsi="Times New Roman" w:cs="Times New Roman"/>
          <w:i/>
        </w:rPr>
        <w:t xml:space="preserve">Citizens United. </w:t>
      </w:r>
      <w:r w:rsidRPr="0036195E">
        <w:rPr>
          <w:rFonts w:ascii="Times New Roman" w:hAnsi="Times New Roman" w:cs="Times New Roman"/>
        </w:rPr>
        <w:t xml:space="preserve">558 U.S. </w:t>
      </w:r>
      <w:r w:rsidRPr="0036195E">
        <w:rPr>
          <w:rFonts w:ascii="Times New Roman" w:hAnsi="Times New Roman" w:cs="Times New Roman"/>
          <w:i/>
        </w:rPr>
        <w:t xml:space="preserve">at </w:t>
      </w:r>
      <w:r w:rsidRPr="0036195E">
        <w:rPr>
          <w:rFonts w:ascii="Times New Roman" w:hAnsi="Times New Roman" w:cs="Times New Roman"/>
        </w:rPr>
        <w:t>360-362.</w:t>
      </w:r>
    </w:p>
    <w:p w:rsidR="0036195E" w:rsidRPr="0036195E" w:rsidRDefault="0036195E">
      <w:pPr>
        <w:pStyle w:val="FootnoteText"/>
        <w:rPr>
          <w:rFonts w:ascii="Times New Roman" w:hAnsi="Times New Roman" w:cs="Times New Roman"/>
        </w:rPr>
      </w:pPr>
    </w:p>
  </w:footnote>
  <w:footnote w:id="5">
    <w:p w:rsidR="00D64796" w:rsidRPr="0036195E" w:rsidRDefault="00D64796" w:rsidP="00D64796">
      <w:pPr>
        <w:pStyle w:val="FootnoteText"/>
        <w:rPr>
          <w:rFonts w:ascii="Times New Roman" w:hAnsi="Times New Roman" w:cs="Times New Roman"/>
        </w:rPr>
      </w:pPr>
      <w:r w:rsidRPr="0036195E">
        <w:rPr>
          <w:rStyle w:val="FootnoteReference"/>
          <w:rFonts w:ascii="Times New Roman" w:hAnsi="Times New Roman" w:cs="Times New Roman"/>
        </w:rPr>
        <w:footnoteRef/>
      </w:r>
      <w:r w:rsidRPr="0036195E">
        <w:rPr>
          <w:rFonts w:ascii="Times New Roman" w:hAnsi="Times New Roman" w:cs="Times New Roman"/>
        </w:rPr>
        <w:t xml:space="preserve"> Independent expenditure-only political committees, commonly known as super PACs, were created in the wake of the U.S. Court of Appeals for the D.C. Circuit</w:t>
      </w:r>
      <w:r w:rsidR="00F678CE">
        <w:rPr>
          <w:rFonts w:ascii="Times New Roman" w:hAnsi="Times New Roman" w:cs="Times New Roman"/>
        </w:rPr>
        <w:t xml:space="preserve">’s decision in </w:t>
      </w:r>
      <w:proofErr w:type="spellStart"/>
      <w:r w:rsidR="00F678CE">
        <w:rPr>
          <w:rFonts w:ascii="Times New Roman" w:hAnsi="Times New Roman" w:cs="Times New Roman"/>
          <w:i/>
        </w:rPr>
        <w:t>SpeechNow</w:t>
      </w:r>
      <w:proofErr w:type="spellEnd"/>
      <w:r w:rsidR="00F678CE">
        <w:rPr>
          <w:rFonts w:ascii="Times New Roman" w:hAnsi="Times New Roman" w:cs="Times New Roman"/>
          <w:i/>
        </w:rPr>
        <w:t xml:space="preserve"> v. FEC</w:t>
      </w:r>
      <w:r w:rsidR="00F678CE">
        <w:rPr>
          <w:rFonts w:ascii="Times New Roman" w:hAnsi="Times New Roman" w:cs="Times New Roman"/>
        </w:rPr>
        <w:t>. 599 F.3d. 686 (2010) (“</w:t>
      </w:r>
      <w:proofErr w:type="spellStart"/>
      <w:r w:rsidR="00F678CE">
        <w:rPr>
          <w:rFonts w:ascii="Times New Roman" w:hAnsi="Times New Roman" w:cs="Times New Roman"/>
          <w:i/>
        </w:rPr>
        <w:t>SpeechNow</w:t>
      </w:r>
      <w:proofErr w:type="spellEnd"/>
      <w:r w:rsidR="00F678CE">
        <w:rPr>
          <w:rFonts w:ascii="Times New Roman" w:hAnsi="Times New Roman" w:cs="Times New Roman"/>
        </w:rPr>
        <w:t xml:space="preserve">”). There, relying on the reasoning of </w:t>
      </w:r>
      <w:r w:rsidR="00F678CE">
        <w:rPr>
          <w:rFonts w:ascii="Times New Roman" w:hAnsi="Times New Roman" w:cs="Times New Roman"/>
          <w:i/>
        </w:rPr>
        <w:t>Citizens United</w:t>
      </w:r>
      <w:r w:rsidR="00F678CE">
        <w:rPr>
          <w:rFonts w:ascii="Times New Roman" w:hAnsi="Times New Roman" w:cs="Times New Roman"/>
        </w:rPr>
        <w:t xml:space="preserve">, the court held that political committees that make only independent expenditures are not subject to contribution limits. </w:t>
      </w:r>
      <w:proofErr w:type="gramStart"/>
      <w:r w:rsidR="00F678CE">
        <w:rPr>
          <w:rFonts w:ascii="Times New Roman" w:hAnsi="Times New Roman" w:cs="Times New Roman"/>
          <w:i/>
        </w:rPr>
        <w:t xml:space="preserve">Id </w:t>
      </w:r>
      <w:r w:rsidR="00F678CE">
        <w:rPr>
          <w:rFonts w:ascii="Times New Roman" w:hAnsi="Times New Roman" w:cs="Times New Roman"/>
        </w:rPr>
        <w:t>at 695.</w:t>
      </w:r>
      <w:proofErr w:type="gramEnd"/>
    </w:p>
    <w:p w:rsidR="0036195E" w:rsidRPr="0036195E" w:rsidRDefault="0036195E" w:rsidP="00D64796">
      <w:pPr>
        <w:pStyle w:val="FootnoteText"/>
        <w:rPr>
          <w:rFonts w:ascii="Times New Roman" w:hAnsi="Times New Roman" w:cs="Times New Roman"/>
        </w:rPr>
      </w:pPr>
    </w:p>
  </w:footnote>
  <w:footnote w:id="6">
    <w:p w:rsidR="001551E2" w:rsidRPr="0036195E" w:rsidRDefault="001551E2" w:rsidP="00FF084C">
      <w:pPr>
        <w:pStyle w:val="FootnoteText"/>
        <w:rPr>
          <w:rFonts w:ascii="Times New Roman" w:hAnsi="Times New Roman" w:cs="Times New Roman"/>
        </w:rPr>
      </w:pPr>
      <w:r w:rsidRPr="0036195E">
        <w:rPr>
          <w:rStyle w:val="FootnoteReference"/>
          <w:rFonts w:ascii="Times New Roman" w:hAnsi="Times New Roman" w:cs="Times New Roman"/>
        </w:rPr>
        <w:footnoteRef/>
      </w:r>
      <w:r w:rsidRPr="0036195E">
        <w:rPr>
          <w:rFonts w:ascii="Times New Roman" w:hAnsi="Times New Roman" w:cs="Times New Roman"/>
        </w:rPr>
        <w:t xml:space="preserve"> Andrew </w:t>
      </w:r>
      <w:proofErr w:type="spellStart"/>
      <w:r w:rsidRPr="0036195E">
        <w:rPr>
          <w:rFonts w:ascii="Times New Roman" w:hAnsi="Times New Roman" w:cs="Times New Roman"/>
        </w:rPr>
        <w:t>Mayersohn</w:t>
      </w:r>
      <w:proofErr w:type="spellEnd"/>
      <w:r w:rsidRPr="0036195E">
        <w:rPr>
          <w:rFonts w:ascii="Times New Roman" w:hAnsi="Times New Roman" w:cs="Times New Roman"/>
        </w:rPr>
        <w:t xml:space="preserve">, </w:t>
      </w:r>
      <w:r w:rsidRPr="0036195E">
        <w:rPr>
          <w:rFonts w:ascii="Times New Roman" w:hAnsi="Times New Roman" w:cs="Times New Roman"/>
          <w:i/>
        </w:rPr>
        <w:t xml:space="preserve">Four Years </w:t>
      </w:r>
      <w:proofErr w:type="gramStart"/>
      <w:r w:rsidRPr="0036195E">
        <w:rPr>
          <w:rFonts w:ascii="Times New Roman" w:hAnsi="Times New Roman" w:cs="Times New Roman"/>
          <w:i/>
        </w:rPr>
        <w:t>After</w:t>
      </w:r>
      <w:proofErr w:type="gramEnd"/>
      <w:r w:rsidRPr="0036195E">
        <w:rPr>
          <w:rFonts w:ascii="Times New Roman" w:hAnsi="Times New Roman" w:cs="Times New Roman"/>
          <w:i/>
        </w:rPr>
        <w:t xml:space="preserve"> Citizens United: The Fallout</w:t>
      </w:r>
      <w:r w:rsidRPr="0036195E">
        <w:rPr>
          <w:rFonts w:ascii="Times New Roman" w:hAnsi="Times New Roman" w:cs="Times New Roman"/>
        </w:rPr>
        <w:t xml:space="preserve">, </w:t>
      </w:r>
      <w:proofErr w:type="spellStart"/>
      <w:r w:rsidRPr="0036195E">
        <w:rPr>
          <w:rFonts w:ascii="Times New Roman" w:hAnsi="Times New Roman" w:cs="Times New Roman"/>
          <w:smallCaps/>
        </w:rPr>
        <w:t>OpenSecrets</w:t>
      </w:r>
      <w:proofErr w:type="spellEnd"/>
      <w:r w:rsidRPr="0036195E">
        <w:rPr>
          <w:rFonts w:ascii="Times New Roman" w:hAnsi="Times New Roman" w:cs="Times New Roman"/>
          <w:smallCaps/>
        </w:rPr>
        <w:t xml:space="preserve"> Blog</w:t>
      </w:r>
      <w:r w:rsidRPr="0036195E">
        <w:rPr>
          <w:rFonts w:ascii="Times New Roman" w:hAnsi="Times New Roman" w:cs="Times New Roman"/>
        </w:rPr>
        <w:t xml:space="preserve"> (Jan. 21, 2014), http://www.opensecrets.org/news/2014/01/four-years-after-citizens-united-the-fallout/.</w:t>
      </w:r>
    </w:p>
    <w:p w:rsidR="0036195E" w:rsidRPr="0036195E" w:rsidRDefault="0036195E" w:rsidP="00FF084C">
      <w:pPr>
        <w:pStyle w:val="FootnoteText"/>
        <w:rPr>
          <w:rFonts w:ascii="Times New Roman" w:hAnsi="Times New Roman" w:cs="Times New Roman"/>
        </w:rPr>
      </w:pPr>
    </w:p>
  </w:footnote>
  <w:footnote w:id="7">
    <w:p w:rsidR="001551E2" w:rsidRPr="0036195E" w:rsidRDefault="001551E2">
      <w:pPr>
        <w:pStyle w:val="FootnoteText"/>
        <w:rPr>
          <w:rFonts w:ascii="Times New Roman" w:hAnsi="Times New Roman" w:cs="Times New Roman"/>
        </w:rPr>
      </w:pPr>
      <w:r w:rsidRPr="0036195E">
        <w:rPr>
          <w:rStyle w:val="FootnoteReference"/>
          <w:rFonts w:ascii="Times New Roman" w:hAnsi="Times New Roman" w:cs="Times New Roman"/>
        </w:rPr>
        <w:footnoteRef/>
      </w:r>
      <w:r w:rsidRPr="0036195E">
        <w:rPr>
          <w:rFonts w:ascii="Times New Roman" w:hAnsi="Times New Roman" w:cs="Times New Roman"/>
        </w:rPr>
        <w:t xml:space="preserve"> Russ </w:t>
      </w:r>
      <w:proofErr w:type="spellStart"/>
      <w:r w:rsidRPr="0036195E">
        <w:rPr>
          <w:rFonts w:ascii="Times New Roman" w:hAnsi="Times New Roman" w:cs="Times New Roman"/>
        </w:rPr>
        <w:t>Choma</w:t>
      </w:r>
      <w:proofErr w:type="spellEnd"/>
      <w:r w:rsidRPr="0036195E">
        <w:rPr>
          <w:rFonts w:ascii="Times New Roman" w:hAnsi="Times New Roman" w:cs="Times New Roman"/>
        </w:rPr>
        <w:t xml:space="preserve">, </w:t>
      </w:r>
      <w:r w:rsidR="000E7AD4" w:rsidRPr="0036195E">
        <w:rPr>
          <w:rFonts w:ascii="Times New Roman" w:hAnsi="Times New Roman"/>
          <w:i/>
        </w:rPr>
        <w:t>Final Tally: 2014’s Midterm Was Most Expensive, With Fewer Donors</w:t>
      </w:r>
      <w:r w:rsidRPr="0036195E">
        <w:rPr>
          <w:rFonts w:ascii="Times New Roman" w:hAnsi="Times New Roman" w:cs="Times New Roman"/>
        </w:rPr>
        <w:t xml:space="preserve">, </w:t>
      </w:r>
      <w:proofErr w:type="spellStart"/>
      <w:r w:rsidRPr="0036195E">
        <w:rPr>
          <w:rFonts w:ascii="Times New Roman" w:hAnsi="Times New Roman" w:cs="Times New Roman"/>
          <w:smallCaps/>
        </w:rPr>
        <w:t>OpenSecrets</w:t>
      </w:r>
      <w:proofErr w:type="spellEnd"/>
      <w:r w:rsidRPr="0036195E">
        <w:rPr>
          <w:rFonts w:ascii="Times New Roman" w:hAnsi="Times New Roman" w:cs="Times New Roman"/>
          <w:smallCaps/>
        </w:rPr>
        <w:t xml:space="preserve"> Blog</w:t>
      </w:r>
      <w:r w:rsidRPr="0036195E">
        <w:rPr>
          <w:rFonts w:ascii="Times New Roman" w:hAnsi="Times New Roman" w:cs="Times New Roman"/>
        </w:rPr>
        <w:t xml:space="preserve"> (Feb. 18, 2015), https://www.opensecrets.org/news/2015/02/final-tally-2014s-midterm-was-most-expensive-with-fewer-donors/.</w:t>
      </w:r>
    </w:p>
    <w:p w:rsidR="0036195E" w:rsidRPr="0036195E" w:rsidRDefault="0036195E">
      <w:pPr>
        <w:pStyle w:val="FootnoteText"/>
        <w:rPr>
          <w:rFonts w:ascii="Times New Roman" w:hAnsi="Times New Roman" w:cs="Times New Roman"/>
        </w:rPr>
      </w:pPr>
    </w:p>
  </w:footnote>
  <w:footnote w:id="8">
    <w:p w:rsidR="001551E2" w:rsidRPr="0036195E" w:rsidRDefault="001551E2">
      <w:pPr>
        <w:pStyle w:val="FootnoteText"/>
        <w:rPr>
          <w:rFonts w:ascii="Times New Roman" w:hAnsi="Times New Roman" w:cs="Times New Roman"/>
        </w:rPr>
      </w:pPr>
      <w:r w:rsidRPr="0036195E">
        <w:rPr>
          <w:rStyle w:val="FootnoteReference"/>
          <w:rFonts w:ascii="Times New Roman" w:hAnsi="Times New Roman" w:cs="Times New Roman"/>
        </w:rPr>
        <w:footnoteRef/>
      </w:r>
      <w:r w:rsidR="000E7AD4" w:rsidRPr="0036195E">
        <w:rPr>
          <w:rFonts w:ascii="Times New Roman" w:hAnsi="Times New Roman" w:cs="Times New Roman"/>
        </w:rPr>
        <w:t xml:space="preserve"> </w:t>
      </w:r>
      <w:r w:rsidR="000E7AD4" w:rsidRPr="0036195E">
        <w:rPr>
          <w:rFonts w:ascii="Times New Roman" w:hAnsi="Times New Roman"/>
          <w:i/>
        </w:rPr>
        <w:t xml:space="preserve">Races in Which </w:t>
      </w:r>
      <w:proofErr w:type="gramStart"/>
      <w:r w:rsidR="000E7AD4" w:rsidRPr="0036195E">
        <w:rPr>
          <w:rFonts w:ascii="Times New Roman" w:hAnsi="Times New Roman"/>
          <w:i/>
        </w:rPr>
        <w:t>Outside</w:t>
      </w:r>
      <w:proofErr w:type="gramEnd"/>
      <w:r w:rsidR="000E7AD4" w:rsidRPr="0036195E">
        <w:rPr>
          <w:rFonts w:ascii="Times New Roman" w:hAnsi="Times New Roman"/>
          <w:i/>
        </w:rPr>
        <w:t xml:space="preserve"> Spending Exceeds Candidate Spending, 2014 Election Cycle</w:t>
      </w:r>
      <w:r w:rsidRPr="0036195E">
        <w:rPr>
          <w:rFonts w:ascii="Times New Roman" w:hAnsi="Times New Roman" w:cs="Times New Roman"/>
        </w:rPr>
        <w:t xml:space="preserve">, </w:t>
      </w:r>
      <w:r w:rsidR="000E7AD4" w:rsidRPr="0036195E">
        <w:rPr>
          <w:rFonts w:ascii="Times New Roman" w:hAnsi="Times New Roman" w:cs="Times New Roman"/>
          <w:smallCaps/>
        </w:rPr>
        <w:t>OpenSecrets.org</w:t>
      </w:r>
      <w:r w:rsidRPr="0036195E">
        <w:rPr>
          <w:rFonts w:ascii="Times New Roman" w:hAnsi="Times New Roman" w:cs="Times New Roman"/>
          <w:smallCaps/>
        </w:rPr>
        <w:t xml:space="preserve">, </w:t>
      </w:r>
      <w:r w:rsidRPr="0036195E">
        <w:rPr>
          <w:rFonts w:ascii="Times New Roman" w:hAnsi="Times New Roman" w:cs="Times New Roman"/>
        </w:rPr>
        <w:t>https://www.opensecrets.org/outsidespending/outvscand.php.</w:t>
      </w:r>
    </w:p>
  </w:footnote>
  <w:footnote w:id="9">
    <w:p w:rsidR="001551E2" w:rsidRPr="0036195E" w:rsidRDefault="001551E2" w:rsidP="00FF084C">
      <w:pPr>
        <w:pStyle w:val="FootnoteText"/>
        <w:rPr>
          <w:rFonts w:ascii="Times New Roman" w:hAnsi="Times New Roman" w:cs="Times New Roman"/>
        </w:rPr>
      </w:pPr>
      <w:r w:rsidRPr="0036195E">
        <w:rPr>
          <w:rStyle w:val="FootnoteReference"/>
          <w:rFonts w:ascii="Times New Roman" w:hAnsi="Times New Roman" w:cs="Times New Roman"/>
        </w:rPr>
        <w:footnoteRef/>
      </w:r>
      <w:r w:rsidR="000E7AD4" w:rsidRPr="0036195E">
        <w:rPr>
          <w:rFonts w:ascii="Times New Roman" w:hAnsi="Times New Roman" w:cs="Times New Roman"/>
        </w:rPr>
        <w:t xml:space="preserve"> Robert Maguire, </w:t>
      </w:r>
      <w:r w:rsidR="000E7AD4" w:rsidRPr="0036195E">
        <w:rPr>
          <w:rFonts w:ascii="Times New Roman" w:hAnsi="Times New Roman" w:cs="Times New Roman"/>
          <w:i/>
        </w:rPr>
        <w:t>How 2014 is Shaping Up to Be the Darkest Money Election to Date</w:t>
      </w:r>
      <w:r w:rsidR="000E7AD4" w:rsidRPr="0036195E">
        <w:rPr>
          <w:rFonts w:ascii="Times New Roman" w:hAnsi="Times New Roman" w:cs="Times New Roman"/>
        </w:rPr>
        <w:t xml:space="preserve">, </w:t>
      </w:r>
      <w:proofErr w:type="spellStart"/>
      <w:r w:rsidR="000E7AD4" w:rsidRPr="0036195E">
        <w:rPr>
          <w:rFonts w:ascii="Times New Roman" w:hAnsi="Times New Roman" w:cs="Times New Roman"/>
          <w:smallCaps/>
        </w:rPr>
        <w:t>OpenSecrets</w:t>
      </w:r>
      <w:proofErr w:type="spellEnd"/>
      <w:r w:rsidR="000E7AD4" w:rsidRPr="0036195E">
        <w:rPr>
          <w:rFonts w:ascii="Times New Roman" w:hAnsi="Times New Roman" w:cs="Times New Roman"/>
          <w:smallCaps/>
        </w:rPr>
        <w:t xml:space="preserve"> Blog</w:t>
      </w:r>
      <w:r w:rsidR="000E7AD4" w:rsidRPr="0036195E">
        <w:rPr>
          <w:rFonts w:ascii="Times New Roman" w:hAnsi="Times New Roman" w:cs="Times New Roman"/>
        </w:rPr>
        <w:t xml:space="preserve"> (Apr. 30, 2014), http://www.opensecrets.org/news/2014/04/how-2014-is-shaping-up-to-be-the-darkest-money-election-to-date/.</w:t>
      </w:r>
    </w:p>
    <w:p w:rsidR="0036195E" w:rsidRPr="0036195E" w:rsidRDefault="0036195E" w:rsidP="00FF084C">
      <w:pPr>
        <w:pStyle w:val="FootnoteText"/>
        <w:rPr>
          <w:rFonts w:ascii="Times New Roman" w:hAnsi="Times New Roman" w:cs="Times New Roman"/>
        </w:rPr>
      </w:pPr>
    </w:p>
  </w:footnote>
  <w:footnote w:id="10">
    <w:p w:rsidR="001551E2" w:rsidRPr="0036195E" w:rsidRDefault="000E7AD4">
      <w:pPr>
        <w:pStyle w:val="FootnoteText"/>
        <w:rPr>
          <w:rFonts w:ascii="Times New Roman" w:hAnsi="Times New Roman" w:cs="Times New Roman"/>
        </w:rPr>
      </w:pPr>
      <w:r w:rsidRPr="0036195E">
        <w:rPr>
          <w:rStyle w:val="FootnoteReference"/>
          <w:rFonts w:ascii="Times New Roman" w:hAnsi="Times New Roman"/>
        </w:rPr>
        <w:footnoteRef/>
      </w:r>
      <w:r w:rsidR="001551E2" w:rsidRPr="0036195E">
        <w:rPr>
          <w:rFonts w:ascii="Times New Roman" w:hAnsi="Times New Roman"/>
        </w:rPr>
        <w:t xml:space="preserve"> </w:t>
      </w:r>
      <w:proofErr w:type="gramStart"/>
      <w:r w:rsidRPr="0036195E">
        <w:rPr>
          <w:rFonts w:ascii="Times New Roman" w:hAnsi="Times New Roman"/>
          <w:i/>
        </w:rPr>
        <w:t>Outside Spending by Disclosure, Excluding Party Committees</w:t>
      </w:r>
      <w:r w:rsidR="001551E2" w:rsidRPr="0036195E">
        <w:rPr>
          <w:rFonts w:ascii="Times New Roman" w:hAnsi="Times New Roman" w:cs="Times New Roman"/>
        </w:rPr>
        <w:t xml:space="preserve">, </w:t>
      </w:r>
      <w:r w:rsidRPr="0036195E">
        <w:rPr>
          <w:rFonts w:ascii="Times New Roman" w:hAnsi="Times New Roman" w:cs="Times New Roman"/>
          <w:smallCaps/>
        </w:rPr>
        <w:t>OpenSecrets.org</w:t>
      </w:r>
      <w:r w:rsidR="001551E2" w:rsidRPr="0036195E">
        <w:rPr>
          <w:rFonts w:ascii="Times New Roman" w:hAnsi="Times New Roman" w:cs="Times New Roman"/>
        </w:rPr>
        <w:t>, https://www.opensecrets.org/outsidespending/disclosure.php.</w:t>
      </w:r>
      <w:proofErr w:type="gramEnd"/>
    </w:p>
    <w:p w:rsidR="0036195E" w:rsidRPr="0036195E" w:rsidRDefault="0036195E">
      <w:pPr>
        <w:pStyle w:val="FootnoteText"/>
        <w:rPr>
          <w:rFonts w:ascii="Times New Roman" w:hAnsi="Times New Roman" w:cs="Times New Roman"/>
        </w:rPr>
      </w:pPr>
    </w:p>
  </w:footnote>
  <w:footnote w:id="11">
    <w:p w:rsidR="001551E2" w:rsidRPr="0036195E" w:rsidRDefault="001551E2" w:rsidP="00E43329">
      <w:pPr>
        <w:pStyle w:val="FootnoteText"/>
        <w:rPr>
          <w:rFonts w:ascii="Times New Roman" w:hAnsi="Times New Roman"/>
        </w:rPr>
      </w:pPr>
      <w:r w:rsidRPr="0036195E">
        <w:rPr>
          <w:rStyle w:val="FootnoteReference"/>
          <w:rFonts w:ascii="Times New Roman" w:hAnsi="Times New Roman" w:cs="Times New Roman"/>
        </w:rPr>
        <w:footnoteRef/>
      </w:r>
      <w:r w:rsidRPr="0036195E">
        <w:rPr>
          <w:rFonts w:ascii="Times New Roman" w:hAnsi="Times New Roman" w:cs="Times New Roman"/>
        </w:rPr>
        <w:t xml:space="preserve"> 52 U.S.C. § 30106(b</w:t>
      </w:r>
      <w:proofErr w:type="gramStart"/>
      <w:r w:rsidRPr="0036195E">
        <w:rPr>
          <w:rFonts w:ascii="Times New Roman" w:hAnsi="Times New Roman" w:cs="Times New Roman"/>
        </w:rPr>
        <w:t>)(</w:t>
      </w:r>
      <w:proofErr w:type="gramEnd"/>
      <w:r w:rsidRPr="0036195E">
        <w:rPr>
          <w:rFonts w:ascii="Times New Roman" w:hAnsi="Times New Roman" w:cs="Times New Roman"/>
        </w:rPr>
        <w:t xml:space="preserve">1). </w:t>
      </w:r>
    </w:p>
    <w:p w:rsidR="001551E2" w:rsidRPr="0036195E" w:rsidRDefault="001551E2" w:rsidP="00E43329">
      <w:pPr>
        <w:pStyle w:val="FootnoteText"/>
      </w:pPr>
    </w:p>
  </w:footnote>
  <w:footnote w:id="12">
    <w:p w:rsidR="001551E2" w:rsidRPr="0036195E" w:rsidRDefault="001551E2" w:rsidP="00F34561">
      <w:pPr>
        <w:pStyle w:val="FootnoteText"/>
        <w:rPr>
          <w:rFonts w:ascii="Times New Roman" w:hAnsi="Times New Roman" w:cs="Times New Roman"/>
        </w:rPr>
      </w:pPr>
      <w:r w:rsidRPr="0036195E">
        <w:rPr>
          <w:rStyle w:val="FootnoteReference"/>
          <w:rFonts w:ascii="Times New Roman" w:hAnsi="Times New Roman" w:cs="Times New Roman"/>
        </w:rPr>
        <w:footnoteRef/>
      </w:r>
      <w:r w:rsidRPr="0036195E">
        <w:rPr>
          <w:rFonts w:ascii="Times New Roman" w:hAnsi="Times New Roman" w:cs="Times New Roman"/>
        </w:rPr>
        <w:t xml:space="preserve"> </w:t>
      </w:r>
      <w:r w:rsidRPr="0036195E">
        <w:rPr>
          <w:rFonts w:ascii="Times New Roman" w:hAnsi="Times New Roman" w:cs="Times New Roman"/>
          <w:i/>
        </w:rPr>
        <w:t>See, e.g.</w:t>
      </w:r>
      <w:r w:rsidRPr="0036195E">
        <w:rPr>
          <w:rFonts w:ascii="Times New Roman" w:hAnsi="Times New Roman" w:cs="Times New Roman"/>
        </w:rPr>
        <w:t xml:space="preserve">, </w:t>
      </w:r>
      <w:r w:rsidR="002E3B44" w:rsidRPr="0036195E">
        <w:rPr>
          <w:rFonts w:ascii="Times New Roman" w:hAnsi="Times New Roman" w:cs="Times New Roman"/>
          <w:i/>
        </w:rPr>
        <w:t>Americans’ Views on Money in Politics</w:t>
      </w:r>
      <w:r w:rsidR="002E3B44" w:rsidRPr="0036195E">
        <w:rPr>
          <w:rFonts w:ascii="Times New Roman" w:hAnsi="Times New Roman" w:cs="Times New Roman"/>
        </w:rPr>
        <w:t xml:space="preserve">, </w:t>
      </w:r>
      <w:r w:rsidR="002E3B44" w:rsidRPr="0036195E">
        <w:rPr>
          <w:rFonts w:ascii="Times New Roman" w:hAnsi="Times New Roman" w:cs="Times New Roman"/>
          <w:smallCaps/>
        </w:rPr>
        <w:t>N.Y. Times</w:t>
      </w:r>
      <w:r w:rsidR="002E3B44" w:rsidRPr="0036195E">
        <w:rPr>
          <w:rFonts w:ascii="Times New Roman" w:hAnsi="Times New Roman" w:cs="Times New Roman"/>
        </w:rPr>
        <w:t xml:space="preserve">, June 1, 2015, </w:t>
      </w:r>
      <w:r w:rsidR="002E3B44" w:rsidRPr="0036195E">
        <w:rPr>
          <w:rFonts w:ascii="Times New Roman" w:hAnsi="Times New Roman" w:cs="Times New Roman"/>
          <w:i/>
        </w:rPr>
        <w:t xml:space="preserve">available at </w:t>
      </w:r>
      <w:r w:rsidR="002E3B44" w:rsidRPr="0036195E">
        <w:rPr>
          <w:rFonts w:ascii="Times New Roman" w:hAnsi="Times New Roman" w:cs="Times New Roman"/>
        </w:rPr>
        <w:t xml:space="preserve"> http://www.nytimes.com/interactive/2015/06/02/us/politics/money-in-politics-poll.html (finding that 84 percent of Americans believe that money has too much influence on politics, and that 58 percent are pessimistic that anything will be done to solve the problem);</w:t>
      </w:r>
      <w:r w:rsidR="00B747F3" w:rsidRPr="0036195E">
        <w:rPr>
          <w:rFonts w:ascii="Times New Roman" w:hAnsi="Times New Roman" w:cs="Times New Roman"/>
        </w:rPr>
        <w:t xml:space="preserve"> </w:t>
      </w:r>
      <w:r w:rsidR="000E7AD4" w:rsidRPr="0036195E">
        <w:rPr>
          <w:rFonts w:ascii="Times New Roman" w:hAnsi="Times New Roman"/>
          <w:smallCaps/>
        </w:rPr>
        <w:t>Brennan Center for Justice,</w:t>
      </w:r>
      <w:r w:rsidR="000E7AD4" w:rsidRPr="0036195E">
        <w:rPr>
          <w:rFonts w:ascii="Times New Roman" w:hAnsi="Times New Roman"/>
          <w:b/>
          <w:smallCaps/>
        </w:rPr>
        <w:t xml:space="preserve"> </w:t>
      </w:r>
      <w:r w:rsidR="000E7AD4" w:rsidRPr="0036195E">
        <w:rPr>
          <w:rStyle w:val="Strong"/>
          <w:rFonts w:ascii="Times New Roman" w:hAnsi="Times New Roman"/>
          <w:b w:val="0"/>
          <w:smallCaps/>
        </w:rPr>
        <w:t>Americans’ Attitudes about the Influence of Super PAC Spending on Government and the Implications for our Democracy</w:t>
      </w:r>
      <w:r w:rsidR="00F678CE">
        <w:rPr>
          <w:rStyle w:val="Strong"/>
          <w:rFonts w:ascii="Times New Roman" w:hAnsi="Times New Roman" w:cs="Times New Roman"/>
          <w:b w:val="0"/>
        </w:rPr>
        <w:t xml:space="preserve"> (Apr. 24, 2012),</w:t>
      </w:r>
      <w:r w:rsidR="004E0B7F" w:rsidRPr="003E685D">
        <w:rPr>
          <w:rFonts w:ascii="Times New Roman" w:hAnsi="Times New Roman" w:cs="Times New Roman"/>
          <w:b/>
        </w:rPr>
        <w:t xml:space="preserve"> </w:t>
      </w:r>
      <w:r w:rsidR="004E0B7F" w:rsidRPr="003E685D">
        <w:rPr>
          <w:rFonts w:ascii="Times New Roman" w:hAnsi="Times New Roman" w:cs="Times New Roman"/>
        </w:rPr>
        <w:t>http://www.brennancenter.org/sites/default/files/legacy/Democracy/CFR/SuperPACs_Corruption_Democracy.pdf (reporting, for example, that nearly two in three Americans say that they trust government less because big donors to super PACs have more influence than regular voters).</w:t>
      </w:r>
    </w:p>
    <w:p w:rsidR="0036195E" w:rsidRPr="0036195E" w:rsidRDefault="0036195E" w:rsidP="00F34561">
      <w:pPr>
        <w:pStyle w:val="FootnoteText"/>
        <w:rPr>
          <w:rFonts w:ascii="Times New Roman" w:hAnsi="Times New Roman" w:cs="Times New Roman"/>
        </w:rPr>
      </w:pPr>
    </w:p>
  </w:footnote>
  <w:footnote w:id="13">
    <w:p w:rsidR="001551E2" w:rsidRPr="0036195E" w:rsidRDefault="000E7AD4">
      <w:pPr>
        <w:pStyle w:val="FootnoteText"/>
        <w:rPr>
          <w:rFonts w:ascii="Times New Roman" w:hAnsi="Times New Roman" w:cs="Times New Roman"/>
        </w:rPr>
      </w:pPr>
      <w:r w:rsidRPr="0036195E">
        <w:rPr>
          <w:rStyle w:val="FootnoteReference"/>
          <w:rFonts w:ascii="Times New Roman" w:hAnsi="Times New Roman"/>
        </w:rPr>
        <w:footnoteRef/>
      </w:r>
      <w:r w:rsidRPr="0036195E">
        <w:rPr>
          <w:rFonts w:ascii="Times New Roman" w:hAnsi="Times New Roman"/>
        </w:rPr>
        <w:t xml:space="preserve"> </w:t>
      </w:r>
      <w:proofErr w:type="gramStart"/>
      <w:r w:rsidR="00FD49F1" w:rsidRPr="0036195E">
        <w:rPr>
          <w:rFonts w:ascii="Times New Roman" w:hAnsi="Times New Roman" w:cs="Times New Roman"/>
        </w:rPr>
        <w:t xml:space="preserve">558 U.S. </w:t>
      </w:r>
      <w:r w:rsidR="00FD49F1">
        <w:rPr>
          <w:rFonts w:ascii="Times New Roman" w:hAnsi="Times New Roman" w:cs="Times New Roman"/>
        </w:rPr>
        <w:t>at 366-71</w:t>
      </w:r>
      <w:r w:rsidR="001551E2" w:rsidRPr="0036195E">
        <w:rPr>
          <w:rFonts w:ascii="Times New Roman" w:hAnsi="Times New Roman" w:cs="Times New Roman"/>
        </w:rPr>
        <w:t>.</w:t>
      </w:r>
      <w:proofErr w:type="gramEnd"/>
      <w:r w:rsidR="001551E2" w:rsidRPr="0036195E">
        <w:rPr>
          <w:rFonts w:ascii="Times New Roman" w:hAnsi="Times New Roman" w:cs="Times New Roman"/>
        </w:rPr>
        <w:t xml:space="preserve"> </w:t>
      </w:r>
    </w:p>
    <w:p w:rsidR="0036195E" w:rsidRPr="0036195E" w:rsidRDefault="0036195E">
      <w:pPr>
        <w:pStyle w:val="FootnoteText"/>
        <w:rPr>
          <w:rFonts w:ascii="Times New Roman" w:hAnsi="Times New Roman" w:cs="Times New Roman"/>
        </w:rPr>
      </w:pPr>
    </w:p>
  </w:footnote>
  <w:footnote w:id="14">
    <w:p w:rsidR="001551E2" w:rsidRPr="0036195E" w:rsidRDefault="000E7AD4">
      <w:pPr>
        <w:pStyle w:val="FootnoteText"/>
        <w:rPr>
          <w:rFonts w:ascii="Times New Roman" w:hAnsi="Times New Roman" w:cs="Times New Roman"/>
        </w:rPr>
      </w:pPr>
      <w:r w:rsidRPr="0036195E">
        <w:rPr>
          <w:rStyle w:val="FootnoteReference"/>
          <w:rFonts w:ascii="Times New Roman" w:hAnsi="Times New Roman"/>
        </w:rPr>
        <w:footnoteRef/>
      </w:r>
      <w:r w:rsidRPr="0036195E">
        <w:rPr>
          <w:rFonts w:ascii="Times New Roman" w:hAnsi="Times New Roman"/>
        </w:rPr>
        <w:t xml:space="preserve"> </w:t>
      </w:r>
      <w:proofErr w:type="gramStart"/>
      <w:r w:rsidR="001551E2" w:rsidRPr="0036195E">
        <w:rPr>
          <w:rFonts w:ascii="Times New Roman" w:hAnsi="Times New Roman" w:cs="Times New Roman"/>
          <w:i/>
        </w:rPr>
        <w:t>Id.</w:t>
      </w:r>
      <w:r w:rsidR="001551E2" w:rsidRPr="0036195E">
        <w:rPr>
          <w:rFonts w:ascii="Times New Roman" w:hAnsi="Times New Roman" w:cs="Times New Roman"/>
        </w:rPr>
        <w:t xml:space="preserve"> at </w:t>
      </w:r>
      <w:r w:rsidR="00FD49F1">
        <w:rPr>
          <w:rFonts w:ascii="Times New Roman" w:hAnsi="Times New Roman" w:cs="Times New Roman"/>
        </w:rPr>
        <w:t>371</w:t>
      </w:r>
      <w:r w:rsidR="001551E2" w:rsidRPr="0036195E">
        <w:rPr>
          <w:rFonts w:ascii="Times New Roman" w:hAnsi="Times New Roman" w:cs="Times New Roman"/>
        </w:rPr>
        <w:t>.</w:t>
      </w:r>
      <w:proofErr w:type="gramEnd"/>
      <w:r w:rsidR="001551E2" w:rsidRPr="0036195E">
        <w:rPr>
          <w:rFonts w:ascii="Times New Roman" w:hAnsi="Times New Roman" w:cs="Times New Roman"/>
        </w:rPr>
        <w:t xml:space="preserve"> </w:t>
      </w:r>
    </w:p>
    <w:p w:rsidR="0036195E" w:rsidRPr="0036195E" w:rsidRDefault="0036195E">
      <w:pPr>
        <w:pStyle w:val="FootnoteText"/>
        <w:rPr>
          <w:rFonts w:ascii="Times New Roman" w:hAnsi="Times New Roman" w:cs="Times New Roman"/>
        </w:rPr>
      </w:pPr>
    </w:p>
  </w:footnote>
  <w:footnote w:id="15">
    <w:p w:rsidR="001551E2" w:rsidRPr="0036195E" w:rsidRDefault="000E7AD4">
      <w:pPr>
        <w:pStyle w:val="FootnoteText"/>
        <w:rPr>
          <w:rFonts w:ascii="Times New Roman" w:hAnsi="Times New Roman" w:cs="Times New Roman"/>
        </w:rPr>
      </w:pPr>
      <w:r w:rsidRPr="0036195E">
        <w:rPr>
          <w:rStyle w:val="FootnoteReference"/>
          <w:rFonts w:ascii="Times New Roman" w:hAnsi="Times New Roman"/>
        </w:rPr>
        <w:footnoteRef/>
      </w:r>
      <w:r w:rsidRPr="0036195E">
        <w:rPr>
          <w:rFonts w:ascii="Times New Roman" w:hAnsi="Times New Roman"/>
        </w:rPr>
        <w:t xml:space="preserve"> </w:t>
      </w:r>
      <w:proofErr w:type="gramStart"/>
      <w:r w:rsidR="001551E2" w:rsidRPr="0036195E">
        <w:rPr>
          <w:rFonts w:ascii="Times New Roman" w:hAnsi="Times New Roman" w:cs="Times New Roman"/>
          <w:i/>
        </w:rPr>
        <w:t>Id.</w:t>
      </w:r>
      <w:r w:rsidR="001551E2" w:rsidRPr="0036195E">
        <w:rPr>
          <w:rFonts w:ascii="Times New Roman" w:hAnsi="Times New Roman" w:cs="Times New Roman"/>
        </w:rPr>
        <w:t xml:space="preserve"> at </w:t>
      </w:r>
      <w:r w:rsidR="00FD49F1">
        <w:rPr>
          <w:rFonts w:ascii="Times New Roman" w:hAnsi="Times New Roman" w:cs="Times New Roman"/>
        </w:rPr>
        <w:t>369</w:t>
      </w:r>
      <w:r w:rsidR="001551E2" w:rsidRPr="0036195E">
        <w:rPr>
          <w:rFonts w:ascii="Times New Roman" w:hAnsi="Times New Roman" w:cs="Times New Roman"/>
        </w:rPr>
        <w:t>.</w:t>
      </w:r>
      <w:proofErr w:type="gramEnd"/>
      <w:r w:rsidR="001551E2" w:rsidRPr="0036195E">
        <w:rPr>
          <w:rFonts w:ascii="Times New Roman" w:hAnsi="Times New Roman" w:cs="Times New Roman"/>
        </w:rPr>
        <w:t xml:space="preserve"> </w:t>
      </w:r>
    </w:p>
    <w:p w:rsidR="0036195E" w:rsidRPr="0036195E" w:rsidRDefault="0036195E">
      <w:pPr>
        <w:pStyle w:val="FootnoteText"/>
        <w:rPr>
          <w:rFonts w:ascii="Times New Roman" w:hAnsi="Times New Roman" w:cs="Times New Roman"/>
        </w:rPr>
      </w:pPr>
    </w:p>
  </w:footnote>
  <w:footnote w:id="16">
    <w:p w:rsidR="001551E2" w:rsidRPr="0036195E" w:rsidRDefault="000E7AD4">
      <w:pPr>
        <w:pStyle w:val="FootnoteText"/>
        <w:rPr>
          <w:rFonts w:ascii="Times New Roman" w:hAnsi="Times New Roman" w:cs="Times New Roman"/>
        </w:rPr>
      </w:pPr>
      <w:r w:rsidRPr="0036195E">
        <w:rPr>
          <w:rStyle w:val="FootnoteReference"/>
          <w:rFonts w:ascii="Times New Roman" w:hAnsi="Times New Roman"/>
        </w:rPr>
        <w:footnoteRef/>
      </w:r>
      <w:r w:rsidRPr="0036195E">
        <w:rPr>
          <w:rFonts w:ascii="Times New Roman" w:hAnsi="Times New Roman"/>
        </w:rPr>
        <w:t xml:space="preserve"> </w:t>
      </w:r>
      <w:r w:rsidR="004E0B7F" w:rsidRPr="003E685D">
        <w:rPr>
          <w:rFonts w:ascii="Times New Roman" w:hAnsi="Times New Roman" w:cs="Times New Roman"/>
          <w:i/>
        </w:rPr>
        <w:t>Id</w:t>
      </w:r>
      <w:r w:rsidR="00FD49F1">
        <w:rPr>
          <w:rFonts w:ascii="Times New Roman" w:hAnsi="Times New Roman" w:cs="Times New Roman"/>
        </w:rPr>
        <w:t xml:space="preserve">. at </w:t>
      </w:r>
      <w:r w:rsidR="00FD49F1" w:rsidRPr="0036195E">
        <w:rPr>
          <w:rFonts w:ascii="Times New Roman" w:hAnsi="Times New Roman" w:cs="Times New Roman"/>
        </w:rPr>
        <w:t>370</w:t>
      </w:r>
      <w:r w:rsidR="00FD49F1">
        <w:rPr>
          <w:rFonts w:ascii="Times New Roman" w:hAnsi="Times New Roman" w:cs="Times New Roman"/>
        </w:rPr>
        <w:t xml:space="preserve"> </w:t>
      </w:r>
      <w:r w:rsidR="001551E2" w:rsidRPr="0036195E">
        <w:rPr>
          <w:rFonts w:ascii="Times New Roman" w:hAnsi="Times New Roman" w:cs="Times New Roman"/>
        </w:rPr>
        <w:t xml:space="preserve">(emphasis added). </w:t>
      </w:r>
    </w:p>
    <w:p w:rsidR="0036195E" w:rsidRPr="0036195E" w:rsidRDefault="0036195E">
      <w:pPr>
        <w:pStyle w:val="FootnoteText"/>
        <w:rPr>
          <w:rFonts w:ascii="Times New Roman" w:hAnsi="Times New Roman" w:cs="Times New Roman"/>
        </w:rPr>
      </w:pPr>
    </w:p>
  </w:footnote>
  <w:footnote w:id="17">
    <w:p w:rsidR="001551E2" w:rsidRPr="0036195E" w:rsidRDefault="001551E2">
      <w:pPr>
        <w:pStyle w:val="FootnoteText"/>
        <w:rPr>
          <w:rFonts w:ascii="Times New Roman" w:hAnsi="Times New Roman" w:cs="Times New Roman"/>
        </w:rPr>
      </w:pPr>
      <w:r w:rsidRPr="0036195E">
        <w:rPr>
          <w:rStyle w:val="FootnoteReference"/>
          <w:rFonts w:ascii="Times New Roman" w:hAnsi="Times New Roman" w:cs="Times New Roman"/>
        </w:rPr>
        <w:footnoteRef/>
      </w:r>
      <w:r w:rsidRPr="0036195E">
        <w:rPr>
          <w:rFonts w:ascii="Times New Roman" w:hAnsi="Times New Roman" w:cs="Times New Roman"/>
        </w:rPr>
        <w:t xml:space="preserve"> Currently these regulations are at 11 C.F.R. § 104.20(c) and § 11 C.F.R. 109.10(e</w:t>
      </w:r>
      <w:proofErr w:type="gramStart"/>
      <w:r w:rsidRPr="0036195E">
        <w:rPr>
          <w:rFonts w:ascii="Times New Roman" w:hAnsi="Times New Roman" w:cs="Times New Roman"/>
        </w:rPr>
        <w:t>)(</w:t>
      </w:r>
      <w:proofErr w:type="gramEnd"/>
      <w:r w:rsidRPr="0036195E">
        <w:rPr>
          <w:rFonts w:ascii="Times New Roman" w:hAnsi="Times New Roman" w:cs="Times New Roman"/>
        </w:rPr>
        <w:t>1)(vi).</w:t>
      </w:r>
    </w:p>
    <w:p w:rsidR="0036195E" w:rsidRPr="0036195E" w:rsidRDefault="0036195E">
      <w:pPr>
        <w:pStyle w:val="FootnoteText"/>
        <w:rPr>
          <w:rFonts w:ascii="Times New Roman" w:hAnsi="Times New Roman" w:cs="Times New Roman"/>
        </w:rPr>
      </w:pPr>
    </w:p>
  </w:footnote>
  <w:footnote w:id="18">
    <w:p w:rsidR="001551E2" w:rsidRPr="0036195E" w:rsidRDefault="001551E2">
      <w:pPr>
        <w:pStyle w:val="FootnoteText"/>
        <w:rPr>
          <w:rFonts w:ascii="Times New Roman" w:hAnsi="Times New Roman" w:cs="Times New Roman"/>
        </w:rPr>
      </w:pPr>
      <w:r w:rsidRPr="0036195E">
        <w:rPr>
          <w:rStyle w:val="FootnoteReference"/>
          <w:rFonts w:ascii="Times New Roman" w:hAnsi="Times New Roman" w:cs="Times New Roman"/>
        </w:rPr>
        <w:footnoteRef/>
      </w:r>
      <w:r w:rsidRPr="0036195E">
        <w:rPr>
          <w:rFonts w:ascii="Times New Roman" w:hAnsi="Times New Roman" w:cs="Times New Roman"/>
        </w:rPr>
        <w:t xml:space="preserve"> 52 U.S.C. § 30121(a</w:t>
      </w:r>
      <w:proofErr w:type="gramStart"/>
      <w:r w:rsidRPr="0036195E">
        <w:rPr>
          <w:rFonts w:ascii="Times New Roman" w:hAnsi="Times New Roman" w:cs="Times New Roman"/>
        </w:rPr>
        <w:t>)(</w:t>
      </w:r>
      <w:proofErr w:type="gramEnd"/>
      <w:r w:rsidRPr="0036195E">
        <w:rPr>
          <w:rFonts w:ascii="Times New Roman" w:hAnsi="Times New Roman" w:cs="Times New Roman"/>
        </w:rPr>
        <w:t xml:space="preserve">1). </w:t>
      </w:r>
    </w:p>
    <w:p w:rsidR="0036195E" w:rsidRPr="0036195E" w:rsidRDefault="0036195E">
      <w:pPr>
        <w:pStyle w:val="FootnoteText"/>
        <w:rPr>
          <w:rFonts w:ascii="Times New Roman" w:hAnsi="Times New Roman" w:cs="Times New Roman"/>
        </w:rPr>
      </w:pPr>
    </w:p>
  </w:footnote>
  <w:footnote w:id="19">
    <w:p w:rsidR="001551E2" w:rsidRPr="0036195E" w:rsidRDefault="001551E2">
      <w:pPr>
        <w:pStyle w:val="FootnoteText"/>
        <w:rPr>
          <w:rFonts w:ascii="Times New Roman" w:hAnsi="Times New Roman" w:cs="Times New Roman"/>
        </w:rPr>
      </w:pPr>
      <w:r w:rsidRPr="0036195E">
        <w:rPr>
          <w:rStyle w:val="FootnoteReference"/>
          <w:rFonts w:ascii="Times New Roman" w:hAnsi="Times New Roman" w:cs="Times New Roman"/>
        </w:rPr>
        <w:footnoteRef/>
      </w:r>
      <w:r w:rsidR="000E7AD4" w:rsidRPr="0036195E">
        <w:rPr>
          <w:rFonts w:ascii="Times New Roman" w:hAnsi="Times New Roman" w:cs="Times New Roman"/>
        </w:rPr>
        <w:t xml:space="preserve"> The relevant Commission regulations are at 11 C.F.R. § 110.20.</w:t>
      </w:r>
    </w:p>
    <w:p w:rsidR="0036195E" w:rsidRPr="0036195E" w:rsidRDefault="0036195E">
      <w:pPr>
        <w:pStyle w:val="FootnoteText"/>
        <w:rPr>
          <w:rFonts w:ascii="Times New Roman" w:hAnsi="Times New Roman" w:cs="Times New Roman"/>
        </w:rPr>
      </w:pPr>
    </w:p>
  </w:footnote>
  <w:footnote w:id="20">
    <w:p w:rsidR="0036195E" w:rsidRPr="0036195E" w:rsidRDefault="001551E2">
      <w:pPr>
        <w:pStyle w:val="FootnoteText"/>
        <w:rPr>
          <w:rFonts w:ascii="Times New Roman" w:hAnsi="Times New Roman" w:cs="Times New Roman"/>
        </w:rPr>
      </w:pPr>
      <w:r w:rsidRPr="0036195E">
        <w:rPr>
          <w:rStyle w:val="FootnoteReference"/>
          <w:rFonts w:ascii="Times New Roman" w:hAnsi="Times New Roman" w:cs="Times New Roman"/>
        </w:rPr>
        <w:footnoteRef/>
      </w:r>
      <w:r w:rsidRPr="0036195E">
        <w:rPr>
          <w:rFonts w:ascii="Times New Roman" w:hAnsi="Times New Roman" w:cs="Times New Roman"/>
        </w:rPr>
        <w:t xml:space="preserve"> 52 U.S.C. § 30118(b</w:t>
      </w:r>
      <w:proofErr w:type="gramStart"/>
      <w:r w:rsidRPr="0036195E">
        <w:rPr>
          <w:rFonts w:ascii="Times New Roman" w:hAnsi="Times New Roman" w:cs="Times New Roman"/>
        </w:rPr>
        <w:t>)(</w:t>
      </w:r>
      <w:proofErr w:type="gramEnd"/>
      <w:r w:rsidRPr="0036195E">
        <w:rPr>
          <w:rFonts w:ascii="Times New Roman" w:hAnsi="Times New Roman" w:cs="Times New Roman"/>
        </w:rPr>
        <w:t xml:space="preserve">3)(A). </w:t>
      </w:r>
    </w:p>
  </w:footnote>
  <w:footnote w:id="21">
    <w:p w:rsidR="001551E2" w:rsidRDefault="00F678CE" w:rsidP="00C82CBC">
      <w:pPr>
        <w:autoSpaceDE w:val="0"/>
        <w:autoSpaceDN w:val="0"/>
        <w:adjustRightInd w:val="0"/>
        <w:spacing w:after="0" w:line="240" w:lineRule="auto"/>
        <w:rPr>
          <w:rFonts w:ascii="Times New Roman" w:hAnsi="Times New Roman" w:cs="Times New Roman"/>
          <w:bCs/>
          <w:sz w:val="20"/>
          <w:szCs w:val="20"/>
        </w:rPr>
      </w:pPr>
      <w:r>
        <w:rPr>
          <w:rStyle w:val="FootnoteReference"/>
          <w:rFonts w:ascii="Times New Roman" w:hAnsi="Times New Roman" w:cs="Times New Roman"/>
          <w:sz w:val="20"/>
          <w:szCs w:val="20"/>
        </w:rPr>
        <w:footnoteRef/>
      </w:r>
      <w:r w:rsidR="004E0B7F" w:rsidRPr="003E685D">
        <w:rPr>
          <w:rFonts w:ascii="Times New Roman" w:hAnsi="Times New Roman" w:cs="Times New Roman"/>
          <w:sz w:val="20"/>
          <w:szCs w:val="20"/>
        </w:rPr>
        <w:t xml:space="preserve"> </w:t>
      </w:r>
      <w:r w:rsidR="004E0B7F" w:rsidRPr="003E685D">
        <w:rPr>
          <w:rFonts w:ascii="Times New Roman" w:hAnsi="Times New Roman" w:cs="Times New Roman"/>
          <w:bCs/>
          <w:sz w:val="20"/>
          <w:szCs w:val="20"/>
        </w:rPr>
        <w:t>11 C.F.R. § 114.2(f</w:t>
      </w:r>
      <w:proofErr w:type="gramStart"/>
      <w:r w:rsidR="004E0B7F" w:rsidRPr="003E685D">
        <w:rPr>
          <w:rFonts w:ascii="Times New Roman" w:hAnsi="Times New Roman" w:cs="Times New Roman"/>
          <w:bCs/>
          <w:sz w:val="20"/>
          <w:szCs w:val="20"/>
        </w:rPr>
        <w:t>)(</w:t>
      </w:r>
      <w:proofErr w:type="gramEnd"/>
      <w:r w:rsidR="004E0B7F" w:rsidRPr="003E685D">
        <w:rPr>
          <w:rFonts w:ascii="Times New Roman" w:hAnsi="Times New Roman" w:cs="Times New Roman"/>
          <w:bCs/>
          <w:sz w:val="20"/>
          <w:szCs w:val="20"/>
        </w:rPr>
        <w:t xml:space="preserve">2)(iv); </w:t>
      </w:r>
      <w:r w:rsidR="004E0B7F" w:rsidRPr="003E685D">
        <w:rPr>
          <w:rFonts w:ascii="Times New Roman" w:hAnsi="Times New Roman" w:cs="Times New Roman"/>
          <w:bCs/>
          <w:i/>
          <w:sz w:val="20"/>
          <w:szCs w:val="20"/>
        </w:rPr>
        <w:t>see also</w:t>
      </w:r>
      <w:r w:rsidR="004E0B7F" w:rsidRPr="003E685D">
        <w:rPr>
          <w:rFonts w:ascii="Times New Roman" w:hAnsi="Times New Roman" w:cs="Times New Roman"/>
          <w:bCs/>
          <w:sz w:val="20"/>
          <w:szCs w:val="20"/>
        </w:rPr>
        <w:t xml:space="preserve"> Corporate and Labor Organization Activity; Express Advocacy and Coordination with Candidates, Final Rule, 60 Fed. Reg. 64259, 64265 (Dec. 14</w:t>
      </w:r>
      <w:proofErr w:type="gramStart"/>
      <w:r w:rsidR="004E0B7F" w:rsidRPr="003E685D">
        <w:rPr>
          <w:rFonts w:ascii="Times New Roman" w:hAnsi="Times New Roman" w:cs="Times New Roman"/>
          <w:bCs/>
          <w:sz w:val="20"/>
          <w:szCs w:val="20"/>
        </w:rPr>
        <w:t>,1995</w:t>
      </w:r>
      <w:proofErr w:type="gramEnd"/>
      <w:r w:rsidR="004E0B7F" w:rsidRPr="003E685D">
        <w:rPr>
          <w:rFonts w:ascii="Times New Roman" w:hAnsi="Times New Roman" w:cs="Times New Roman"/>
          <w:bCs/>
          <w:sz w:val="20"/>
          <w:szCs w:val="20"/>
        </w:rPr>
        <w:t>) (corporate or labor union "employees who are unwilling to [contribute or fundraise in support of a political campaign] as part of their job have a right to refuse to do so").</w:t>
      </w:r>
    </w:p>
    <w:p w:rsidR="008C4102" w:rsidRPr="0036195E" w:rsidRDefault="008C4102" w:rsidP="00C82CBC">
      <w:pPr>
        <w:autoSpaceDE w:val="0"/>
        <w:autoSpaceDN w:val="0"/>
        <w:adjustRightInd w:val="0"/>
        <w:spacing w:after="0" w:line="240" w:lineRule="auto"/>
      </w:pPr>
    </w:p>
  </w:footnote>
  <w:footnote w:id="22">
    <w:p w:rsidR="001551E2" w:rsidRPr="0036195E" w:rsidRDefault="000E7AD4" w:rsidP="00357BFC">
      <w:pPr>
        <w:pStyle w:val="FootnoteText"/>
        <w:rPr>
          <w:rFonts w:ascii="Times New Roman" w:hAnsi="Times New Roman" w:cs="Times New Roman"/>
        </w:rPr>
      </w:pPr>
      <w:r w:rsidRPr="0036195E">
        <w:rPr>
          <w:rStyle w:val="FootnoteReference"/>
          <w:rFonts w:ascii="Times New Roman" w:hAnsi="Times New Roman"/>
        </w:rPr>
        <w:footnoteRef/>
      </w:r>
      <w:r w:rsidRPr="0036195E">
        <w:rPr>
          <w:rFonts w:ascii="Times New Roman" w:hAnsi="Times New Roman"/>
        </w:rPr>
        <w:t xml:space="preserve"> </w:t>
      </w:r>
      <w:r w:rsidR="001551E2" w:rsidRPr="0036195E">
        <w:rPr>
          <w:rFonts w:ascii="Times New Roman" w:hAnsi="Times New Roman" w:cs="Times New Roman"/>
        </w:rPr>
        <w:t xml:space="preserve">Current regulations addressing coercion of employees and union members are at 11 C.F.R. </w:t>
      </w:r>
      <w:r w:rsidR="00FE37E3">
        <w:rPr>
          <w:rFonts w:ascii="Times New Roman" w:hAnsi="Times New Roman" w:cs="Times New Roman"/>
        </w:rPr>
        <w:t>§</w:t>
      </w:r>
      <w:r w:rsidR="001551E2" w:rsidRPr="0036195E">
        <w:rPr>
          <w:rFonts w:ascii="Times New Roman" w:hAnsi="Times New Roman" w:cs="Times New Roman"/>
        </w:rPr>
        <w:t>§ 114.2(f</w:t>
      </w:r>
      <w:proofErr w:type="gramStart"/>
      <w:r w:rsidR="001551E2" w:rsidRPr="0036195E">
        <w:rPr>
          <w:rFonts w:ascii="Times New Roman" w:hAnsi="Times New Roman" w:cs="Times New Roman"/>
        </w:rPr>
        <w:t>)(</w:t>
      </w:r>
      <w:proofErr w:type="gramEnd"/>
      <w:r w:rsidR="001551E2" w:rsidRPr="0036195E">
        <w:rPr>
          <w:rFonts w:ascii="Times New Roman" w:hAnsi="Times New Roman" w:cs="Times New Roman"/>
        </w:rPr>
        <w:t xml:space="preserve">2)(iv); 114.5(a)(2)-(4). </w:t>
      </w:r>
    </w:p>
  </w:footnote>
  <w:footnote w:id="23">
    <w:p w:rsidR="001551E2" w:rsidRPr="0036195E" w:rsidRDefault="000E7AD4" w:rsidP="00357BFC">
      <w:pPr>
        <w:pStyle w:val="FootnoteText"/>
        <w:rPr>
          <w:rFonts w:ascii="Times New Roman" w:hAnsi="Times New Roman" w:cs="Times New Roman"/>
        </w:rPr>
      </w:pPr>
      <w:r w:rsidRPr="0036195E">
        <w:rPr>
          <w:rStyle w:val="FootnoteReference"/>
          <w:rFonts w:ascii="Times New Roman" w:hAnsi="Times New Roman"/>
        </w:rPr>
        <w:footnoteRef/>
      </w:r>
      <w:r w:rsidRPr="0036195E">
        <w:rPr>
          <w:rFonts w:ascii="Times New Roman" w:hAnsi="Times New Roman"/>
        </w:rPr>
        <w:t xml:space="preserve"> </w:t>
      </w:r>
      <w:proofErr w:type="spellStart"/>
      <w:r w:rsidR="001551E2" w:rsidRPr="0036195E">
        <w:rPr>
          <w:rFonts w:ascii="Times New Roman" w:hAnsi="Times New Roman" w:cs="Times New Roman"/>
          <w:i/>
        </w:rPr>
        <w:t>SpeechNow</w:t>
      </w:r>
      <w:proofErr w:type="spellEnd"/>
      <w:r w:rsidR="001551E2" w:rsidRPr="0036195E">
        <w:rPr>
          <w:rFonts w:ascii="Times New Roman" w:hAnsi="Times New Roman" w:cs="Times New Roman"/>
          <w:i/>
        </w:rPr>
        <w:t xml:space="preserve">, </w:t>
      </w:r>
      <w:proofErr w:type="gramStart"/>
      <w:r w:rsidR="001551E2" w:rsidRPr="0036195E">
        <w:rPr>
          <w:rFonts w:ascii="Times New Roman" w:hAnsi="Times New Roman" w:cs="Times New Roman"/>
        </w:rPr>
        <w:t>599 F.3d at 693</w:t>
      </w:r>
      <w:proofErr w:type="gramEnd"/>
      <w:r w:rsidR="001551E2" w:rsidRPr="0036195E">
        <w:rPr>
          <w:rFonts w:ascii="Times New Roman" w:hAnsi="Times New Roman" w:cs="Times New Roman"/>
        </w:rPr>
        <w:t>.</w:t>
      </w:r>
    </w:p>
    <w:p w:rsidR="0036195E" w:rsidRPr="0036195E" w:rsidRDefault="0036195E" w:rsidP="00357BFC">
      <w:pPr>
        <w:pStyle w:val="FootnoteText"/>
        <w:rPr>
          <w:rFonts w:ascii="Times New Roman" w:hAnsi="Times New Roman" w:cs="Times New Roman"/>
          <w:i/>
        </w:rPr>
      </w:pPr>
    </w:p>
  </w:footnote>
  <w:footnote w:id="24">
    <w:p w:rsidR="006011FE" w:rsidRPr="003E685D" w:rsidRDefault="004E0B7F">
      <w:pPr>
        <w:pStyle w:val="Default"/>
        <w:rPr>
          <w:color w:val="auto"/>
          <w:sz w:val="20"/>
          <w:szCs w:val="20"/>
        </w:rPr>
      </w:pPr>
      <w:r w:rsidRPr="003E685D">
        <w:rPr>
          <w:rStyle w:val="FootnoteReference"/>
          <w:color w:val="auto"/>
          <w:sz w:val="20"/>
          <w:szCs w:val="20"/>
        </w:rPr>
        <w:footnoteRef/>
      </w:r>
      <w:r w:rsidRPr="003E685D">
        <w:rPr>
          <w:color w:val="auto"/>
          <w:sz w:val="20"/>
          <w:szCs w:val="20"/>
        </w:rPr>
        <w:t xml:space="preserve"> </w:t>
      </w:r>
      <w:r w:rsidRPr="003E685D">
        <w:rPr>
          <w:i/>
          <w:color w:val="auto"/>
          <w:sz w:val="20"/>
        </w:rPr>
        <w:t>See Carey</w:t>
      </w:r>
      <w:r w:rsidRPr="003E685D">
        <w:rPr>
          <w:color w:val="auto"/>
          <w:sz w:val="20"/>
          <w:szCs w:val="20"/>
        </w:rPr>
        <w:t xml:space="preserve">, 791 F. Supp. 2d at 126. </w:t>
      </w:r>
    </w:p>
    <w:p w:rsidR="0036195E" w:rsidRPr="003E685D" w:rsidRDefault="0036195E">
      <w:pPr>
        <w:pStyle w:val="Default"/>
        <w:rPr>
          <w:color w:val="auto"/>
          <w:sz w:val="20"/>
          <w:szCs w:val="20"/>
        </w:rPr>
      </w:pPr>
    </w:p>
  </w:footnote>
  <w:footnote w:id="25">
    <w:p w:rsidR="001551E2" w:rsidRPr="003E685D" w:rsidRDefault="001551E2">
      <w:pPr>
        <w:pStyle w:val="FootnoteText"/>
        <w:rPr>
          <w:rFonts w:ascii="Times New Roman" w:hAnsi="Times New Roman" w:cs="Times New Roman"/>
          <w:bCs/>
        </w:rPr>
      </w:pPr>
      <w:r w:rsidRPr="0036195E">
        <w:rPr>
          <w:rStyle w:val="FootnoteReference"/>
        </w:rPr>
        <w:footnoteRef/>
      </w:r>
      <w:r w:rsidRPr="0036195E">
        <w:t xml:space="preserve"> </w:t>
      </w:r>
      <w:r w:rsidR="000E7AD4" w:rsidRPr="0036195E">
        <w:rPr>
          <w:rFonts w:ascii="Times New Roman" w:hAnsi="Times New Roman" w:cs="Times New Roman"/>
          <w:i/>
        </w:rPr>
        <w:t>See</w:t>
      </w:r>
      <w:r w:rsidR="000E7AD4" w:rsidRPr="0036195E">
        <w:rPr>
          <w:rFonts w:ascii="Times New Roman" w:hAnsi="Times New Roman" w:cs="Times New Roman"/>
        </w:rPr>
        <w:t xml:space="preserve"> </w:t>
      </w:r>
      <w:r w:rsidR="00AD44DF" w:rsidRPr="0036195E">
        <w:rPr>
          <w:rFonts w:ascii="Times New Roman" w:hAnsi="Times New Roman" w:cs="Times New Roman"/>
        </w:rPr>
        <w:t xml:space="preserve">Richard </w:t>
      </w:r>
      <w:proofErr w:type="spellStart"/>
      <w:r w:rsidR="00AD44DF" w:rsidRPr="0036195E">
        <w:rPr>
          <w:rFonts w:ascii="Times New Roman" w:hAnsi="Times New Roman" w:cs="Times New Roman"/>
        </w:rPr>
        <w:t>Briffault</w:t>
      </w:r>
      <w:proofErr w:type="spellEnd"/>
      <w:r w:rsidR="00AD44DF" w:rsidRPr="0036195E">
        <w:rPr>
          <w:rFonts w:ascii="Times New Roman" w:hAnsi="Times New Roman" w:cs="Times New Roman"/>
        </w:rPr>
        <w:t xml:space="preserve">, </w:t>
      </w:r>
      <w:r w:rsidR="004E0B7F" w:rsidRPr="003E685D">
        <w:rPr>
          <w:rFonts w:ascii="Times New Roman" w:hAnsi="Times New Roman" w:cs="Times New Roman"/>
          <w:bCs/>
          <w:i/>
        </w:rPr>
        <w:t>Coordination Reconsidered</w:t>
      </w:r>
      <w:r w:rsidR="004E0B7F" w:rsidRPr="003E685D">
        <w:rPr>
          <w:rFonts w:ascii="Times New Roman" w:hAnsi="Times New Roman" w:cs="Times New Roman"/>
          <w:bCs/>
        </w:rPr>
        <w:t xml:space="preserve">, 113 </w:t>
      </w:r>
      <w:r w:rsidR="004E0B7F" w:rsidRPr="003E685D">
        <w:rPr>
          <w:rFonts w:ascii="Times New Roman" w:hAnsi="Times New Roman" w:cs="Times New Roman"/>
          <w:bCs/>
          <w:smallCaps/>
        </w:rPr>
        <w:t xml:space="preserve">Colum. </w:t>
      </w:r>
      <w:proofErr w:type="gramStart"/>
      <w:r w:rsidR="004E0B7F" w:rsidRPr="003E685D">
        <w:rPr>
          <w:rFonts w:ascii="Times New Roman" w:hAnsi="Times New Roman" w:cs="Times New Roman"/>
          <w:bCs/>
          <w:smallCaps/>
        </w:rPr>
        <w:t>L. Rev. Sidebar</w:t>
      </w:r>
      <w:r w:rsidR="004E0B7F" w:rsidRPr="003E685D">
        <w:rPr>
          <w:rFonts w:ascii="Times New Roman" w:hAnsi="Times New Roman" w:cs="Times New Roman"/>
          <w:bCs/>
        </w:rPr>
        <w:t xml:space="preserve"> 88, 97-100 (2013).</w:t>
      </w:r>
      <w:proofErr w:type="gramEnd"/>
      <w:r w:rsidR="004E0B7F" w:rsidRPr="003E685D">
        <w:rPr>
          <w:rFonts w:ascii="Times New Roman" w:hAnsi="Times New Roman" w:cs="Times New Roman"/>
          <w:bCs/>
        </w:rPr>
        <w:t xml:space="preserve"> </w:t>
      </w:r>
    </w:p>
    <w:p w:rsidR="0036195E" w:rsidRPr="0036195E" w:rsidRDefault="0036195E">
      <w:pPr>
        <w:pStyle w:val="FootnoteText"/>
      </w:pPr>
    </w:p>
  </w:footnote>
  <w:footnote w:id="26">
    <w:p w:rsidR="00AD44DF" w:rsidRPr="0036195E" w:rsidRDefault="00AD44DF">
      <w:pPr>
        <w:pStyle w:val="FootnoteText"/>
        <w:rPr>
          <w:rFonts w:ascii="Times New Roman" w:hAnsi="Times New Roman" w:cs="Times New Roman"/>
        </w:rPr>
      </w:pPr>
      <w:r w:rsidRPr="0036195E">
        <w:rPr>
          <w:rStyle w:val="FootnoteReference"/>
        </w:rPr>
        <w:footnoteRef/>
      </w:r>
      <w:r w:rsidRPr="0036195E">
        <w:t xml:space="preserve"> </w:t>
      </w:r>
      <w:r w:rsidRPr="0036195E">
        <w:rPr>
          <w:rFonts w:ascii="Times New Roman" w:hAnsi="Times New Roman" w:cs="Times New Roman"/>
          <w:i/>
        </w:rPr>
        <w:t>See, e.g.</w:t>
      </w:r>
      <w:r w:rsidRPr="0036195E">
        <w:rPr>
          <w:rFonts w:ascii="Times New Roman" w:hAnsi="Times New Roman" w:cs="Times New Roman"/>
        </w:rPr>
        <w:t xml:space="preserve">, </w:t>
      </w:r>
      <w:proofErr w:type="spellStart"/>
      <w:r w:rsidRPr="0036195E">
        <w:rPr>
          <w:rFonts w:ascii="Times New Roman" w:hAnsi="Times New Roman" w:cs="Times New Roman"/>
        </w:rPr>
        <w:t>Chisun</w:t>
      </w:r>
      <w:proofErr w:type="spellEnd"/>
      <w:r w:rsidRPr="0036195E">
        <w:rPr>
          <w:rFonts w:ascii="Times New Roman" w:hAnsi="Times New Roman" w:cs="Times New Roman"/>
        </w:rPr>
        <w:t xml:space="preserve"> Lee, Brent Ferguson, and David </w:t>
      </w:r>
      <w:proofErr w:type="spellStart"/>
      <w:r w:rsidRPr="0036195E">
        <w:rPr>
          <w:rFonts w:ascii="Times New Roman" w:hAnsi="Times New Roman" w:cs="Times New Roman"/>
        </w:rPr>
        <w:t>Earley</w:t>
      </w:r>
      <w:proofErr w:type="spellEnd"/>
      <w:r w:rsidRPr="0036195E">
        <w:rPr>
          <w:rFonts w:ascii="Times New Roman" w:hAnsi="Times New Roman" w:cs="Times New Roman"/>
          <w:smallCaps/>
        </w:rPr>
        <w:t>,</w:t>
      </w:r>
      <w:r w:rsidRPr="0036195E">
        <w:rPr>
          <w:rFonts w:ascii="Times New Roman" w:hAnsi="Times New Roman" w:cs="Times New Roman"/>
          <w:b/>
          <w:bCs/>
          <w:smallCaps/>
        </w:rPr>
        <w:t xml:space="preserve"> </w:t>
      </w:r>
      <w:r w:rsidR="000E7AD4" w:rsidRPr="0036195E">
        <w:rPr>
          <w:rStyle w:val="Strong"/>
          <w:rFonts w:ascii="Times New Roman" w:hAnsi="Times New Roman" w:cs="Times New Roman"/>
          <w:b w:val="0"/>
          <w:i/>
        </w:rPr>
        <w:t xml:space="preserve">After Citizens United:  The Story </w:t>
      </w:r>
      <w:proofErr w:type="gramStart"/>
      <w:r w:rsidR="000E7AD4" w:rsidRPr="0036195E">
        <w:rPr>
          <w:rStyle w:val="Strong"/>
          <w:rFonts w:ascii="Times New Roman" w:hAnsi="Times New Roman" w:cs="Times New Roman"/>
          <w:b w:val="0"/>
          <w:i/>
        </w:rPr>
        <w:t>In The</w:t>
      </w:r>
      <w:proofErr w:type="gramEnd"/>
      <w:r w:rsidR="000E7AD4" w:rsidRPr="0036195E">
        <w:rPr>
          <w:rStyle w:val="Strong"/>
          <w:rFonts w:ascii="Times New Roman" w:hAnsi="Times New Roman" w:cs="Times New Roman"/>
          <w:b w:val="0"/>
          <w:i/>
        </w:rPr>
        <w:t xml:space="preserve"> States</w:t>
      </w:r>
      <w:r w:rsidRPr="0036195E">
        <w:rPr>
          <w:rStyle w:val="Strong"/>
          <w:rFonts w:ascii="Times New Roman" w:hAnsi="Times New Roman" w:cs="Times New Roman"/>
          <w:b w:val="0"/>
          <w:smallCaps/>
        </w:rPr>
        <w:t xml:space="preserve">, </w:t>
      </w:r>
      <w:r w:rsidRPr="0036195E">
        <w:rPr>
          <w:rFonts w:ascii="Times New Roman" w:hAnsi="Times New Roman" w:cs="Times New Roman"/>
          <w:smallCaps/>
        </w:rPr>
        <w:t>Brennan Center for Justice, 16-29</w:t>
      </w:r>
      <w:r w:rsidRPr="0036195E">
        <w:rPr>
          <w:rStyle w:val="Strong"/>
          <w:rFonts w:ascii="Times New Roman" w:hAnsi="Times New Roman" w:cs="Times New Roman"/>
          <w:b w:val="0"/>
        </w:rPr>
        <w:t xml:space="preserve"> (</w:t>
      </w:r>
      <w:r w:rsidR="00F678CE">
        <w:rPr>
          <w:rStyle w:val="Strong"/>
          <w:rFonts w:ascii="Times New Roman" w:hAnsi="Times New Roman" w:cs="Times New Roman"/>
          <w:b w:val="0"/>
        </w:rPr>
        <w:t>Oct. 29, 2014),</w:t>
      </w:r>
      <w:r w:rsidR="004E0B7F" w:rsidRPr="003E685D">
        <w:rPr>
          <w:rFonts w:ascii="Times New Roman" w:hAnsi="Times New Roman" w:cs="Times New Roman"/>
          <w:b/>
        </w:rPr>
        <w:t xml:space="preserve"> </w:t>
      </w:r>
      <w:r w:rsidR="004E0B7F" w:rsidRPr="003E685D">
        <w:rPr>
          <w:rFonts w:ascii="Times New Roman" w:hAnsi="Times New Roman" w:cs="Times New Roman"/>
        </w:rPr>
        <w:t>https://www.brennancenter.org/sites/default/files/publications/After%20Citizens%20United_Web_Final.pdf.</w:t>
      </w:r>
    </w:p>
    <w:p w:rsidR="0036195E" w:rsidRPr="0036195E" w:rsidRDefault="0036195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53F"/>
    <w:multiLevelType w:val="hybridMultilevel"/>
    <w:tmpl w:val="7186811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5714539"/>
    <w:multiLevelType w:val="hybridMultilevel"/>
    <w:tmpl w:val="4E687BF6"/>
    <w:lvl w:ilvl="0" w:tplc="2F1A7432">
      <w:start w:val="1"/>
      <w:numFmt w:val="lowerLetter"/>
      <w:lvlText w:val="%1."/>
      <w:lvlJc w:val="left"/>
      <w:pPr>
        <w:ind w:left="1440" w:hanging="360"/>
      </w:pPr>
      <w:rPr>
        <w:rFonts w:asciiTheme="majorHAnsi" w:eastAsiaTheme="minorHAnsi" w:hAnsiTheme="maj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1827110"/>
    <w:multiLevelType w:val="hybridMultilevel"/>
    <w:tmpl w:val="69B6F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1701B1"/>
    <w:multiLevelType w:val="hybridMultilevel"/>
    <w:tmpl w:val="7186811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E6A2D4D"/>
    <w:multiLevelType w:val="hybridMultilevel"/>
    <w:tmpl w:val="4A7851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8134D76"/>
    <w:multiLevelType w:val="hybridMultilevel"/>
    <w:tmpl w:val="C07AB74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667957"/>
    <w:rsid w:val="00034F08"/>
    <w:rsid w:val="00037009"/>
    <w:rsid w:val="0005353E"/>
    <w:rsid w:val="00061D8B"/>
    <w:rsid w:val="00061E8C"/>
    <w:rsid w:val="00074CB9"/>
    <w:rsid w:val="00084B59"/>
    <w:rsid w:val="0009759B"/>
    <w:rsid w:val="000A1EF4"/>
    <w:rsid w:val="000A4068"/>
    <w:rsid w:val="000A51EC"/>
    <w:rsid w:val="000A7A52"/>
    <w:rsid w:val="000C528E"/>
    <w:rsid w:val="000D37C4"/>
    <w:rsid w:val="000E0B9F"/>
    <w:rsid w:val="000E7AD4"/>
    <w:rsid w:val="000F53AF"/>
    <w:rsid w:val="000F5CEB"/>
    <w:rsid w:val="00106B35"/>
    <w:rsid w:val="00113D23"/>
    <w:rsid w:val="0011573E"/>
    <w:rsid w:val="001202D7"/>
    <w:rsid w:val="001213BD"/>
    <w:rsid w:val="0012722F"/>
    <w:rsid w:val="00154B5F"/>
    <w:rsid w:val="001551E2"/>
    <w:rsid w:val="00162C2D"/>
    <w:rsid w:val="001715A7"/>
    <w:rsid w:val="00176735"/>
    <w:rsid w:val="00181EEE"/>
    <w:rsid w:val="0018526D"/>
    <w:rsid w:val="001859EE"/>
    <w:rsid w:val="00191512"/>
    <w:rsid w:val="00196CDB"/>
    <w:rsid w:val="001B617E"/>
    <w:rsid w:val="001C0208"/>
    <w:rsid w:val="001C210A"/>
    <w:rsid w:val="001C3EA1"/>
    <w:rsid w:val="001C4F46"/>
    <w:rsid w:val="001D75AA"/>
    <w:rsid w:val="001E24C9"/>
    <w:rsid w:val="001E5B72"/>
    <w:rsid w:val="001E7400"/>
    <w:rsid w:val="001F52B9"/>
    <w:rsid w:val="001F67FA"/>
    <w:rsid w:val="00207C96"/>
    <w:rsid w:val="00221C56"/>
    <w:rsid w:val="0022257A"/>
    <w:rsid w:val="00223A75"/>
    <w:rsid w:val="00223DB8"/>
    <w:rsid w:val="00230EB1"/>
    <w:rsid w:val="00236B19"/>
    <w:rsid w:val="00252331"/>
    <w:rsid w:val="002620B6"/>
    <w:rsid w:val="00291E87"/>
    <w:rsid w:val="00293441"/>
    <w:rsid w:val="002D2120"/>
    <w:rsid w:val="002D5314"/>
    <w:rsid w:val="002E00F3"/>
    <w:rsid w:val="002E3A06"/>
    <w:rsid w:val="002E3B44"/>
    <w:rsid w:val="002F0108"/>
    <w:rsid w:val="00306A4B"/>
    <w:rsid w:val="003131BA"/>
    <w:rsid w:val="00316B89"/>
    <w:rsid w:val="00320F54"/>
    <w:rsid w:val="003248E7"/>
    <w:rsid w:val="00332621"/>
    <w:rsid w:val="00332FC2"/>
    <w:rsid w:val="00333B7E"/>
    <w:rsid w:val="00335CA1"/>
    <w:rsid w:val="00335DBF"/>
    <w:rsid w:val="00344624"/>
    <w:rsid w:val="00357BFC"/>
    <w:rsid w:val="0036195E"/>
    <w:rsid w:val="00362429"/>
    <w:rsid w:val="003641A5"/>
    <w:rsid w:val="00364DD1"/>
    <w:rsid w:val="003657A2"/>
    <w:rsid w:val="003811FF"/>
    <w:rsid w:val="00390D58"/>
    <w:rsid w:val="003A2CF0"/>
    <w:rsid w:val="003B1E1C"/>
    <w:rsid w:val="003C0E70"/>
    <w:rsid w:val="003D77C8"/>
    <w:rsid w:val="003D7AE9"/>
    <w:rsid w:val="003E3BD5"/>
    <w:rsid w:val="003E52EB"/>
    <w:rsid w:val="003E685D"/>
    <w:rsid w:val="003F6606"/>
    <w:rsid w:val="00401AFF"/>
    <w:rsid w:val="00410584"/>
    <w:rsid w:val="00410BF4"/>
    <w:rsid w:val="00445072"/>
    <w:rsid w:val="00451595"/>
    <w:rsid w:val="00453E4B"/>
    <w:rsid w:val="00455C39"/>
    <w:rsid w:val="00456947"/>
    <w:rsid w:val="00457401"/>
    <w:rsid w:val="00464E1D"/>
    <w:rsid w:val="004657A3"/>
    <w:rsid w:val="00467A39"/>
    <w:rsid w:val="004713EC"/>
    <w:rsid w:val="00476A26"/>
    <w:rsid w:val="004B62E9"/>
    <w:rsid w:val="004C1AF2"/>
    <w:rsid w:val="004D02E1"/>
    <w:rsid w:val="004E0B7F"/>
    <w:rsid w:val="004F1EC3"/>
    <w:rsid w:val="004F5419"/>
    <w:rsid w:val="00530477"/>
    <w:rsid w:val="005331FD"/>
    <w:rsid w:val="005445C6"/>
    <w:rsid w:val="005453E3"/>
    <w:rsid w:val="00550CF1"/>
    <w:rsid w:val="00551B9B"/>
    <w:rsid w:val="0057387F"/>
    <w:rsid w:val="005848FD"/>
    <w:rsid w:val="0058765A"/>
    <w:rsid w:val="00587F54"/>
    <w:rsid w:val="005A6265"/>
    <w:rsid w:val="005B51A9"/>
    <w:rsid w:val="005E2546"/>
    <w:rsid w:val="005E4C71"/>
    <w:rsid w:val="005E6BEA"/>
    <w:rsid w:val="005F0243"/>
    <w:rsid w:val="006011FE"/>
    <w:rsid w:val="0060397D"/>
    <w:rsid w:val="00604568"/>
    <w:rsid w:val="00605F42"/>
    <w:rsid w:val="0060671E"/>
    <w:rsid w:val="00615934"/>
    <w:rsid w:val="0062318C"/>
    <w:rsid w:val="0062694B"/>
    <w:rsid w:val="0065145A"/>
    <w:rsid w:val="0065628D"/>
    <w:rsid w:val="00662F88"/>
    <w:rsid w:val="006672A8"/>
    <w:rsid w:val="00667957"/>
    <w:rsid w:val="0067106C"/>
    <w:rsid w:val="00675F49"/>
    <w:rsid w:val="006769FE"/>
    <w:rsid w:val="006A7401"/>
    <w:rsid w:val="006B3016"/>
    <w:rsid w:val="006D0581"/>
    <w:rsid w:val="006E4C05"/>
    <w:rsid w:val="006F13F5"/>
    <w:rsid w:val="007020D1"/>
    <w:rsid w:val="007027D5"/>
    <w:rsid w:val="00712C80"/>
    <w:rsid w:val="00717C92"/>
    <w:rsid w:val="00717EA1"/>
    <w:rsid w:val="00743A6E"/>
    <w:rsid w:val="00753DCB"/>
    <w:rsid w:val="00754CAA"/>
    <w:rsid w:val="0076077E"/>
    <w:rsid w:val="00762FCA"/>
    <w:rsid w:val="00766B68"/>
    <w:rsid w:val="00775627"/>
    <w:rsid w:val="00781902"/>
    <w:rsid w:val="00784BB8"/>
    <w:rsid w:val="007A3273"/>
    <w:rsid w:val="007A402D"/>
    <w:rsid w:val="007C53CA"/>
    <w:rsid w:val="007E39DD"/>
    <w:rsid w:val="007F13C4"/>
    <w:rsid w:val="0080419E"/>
    <w:rsid w:val="008056CC"/>
    <w:rsid w:val="008064BC"/>
    <w:rsid w:val="00807F2D"/>
    <w:rsid w:val="00824A2B"/>
    <w:rsid w:val="008309D9"/>
    <w:rsid w:val="00831E5A"/>
    <w:rsid w:val="00831E92"/>
    <w:rsid w:val="00846902"/>
    <w:rsid w:val="008546F8"/>
    <w:rsid w:val="0085533A"/>
    <w:rsid w:val="008646F5"/>
    <w:rsid w:val="008674B6"/>
    <w:rsid w:val="0087753D"/>
    <w:rsid w:val="008803B7"/>
    <w:rsid w:val="008820A3"/>
    <w:rsid w:val="00885F6A"/>
    <w:rsid w:val="00885FCA"/>
    <w:rsid w:val="0088668E"/>
    <w:rsid w:val="008962FC"/>
    <w:rsid w:val="00896796"/>
    <w:rsid w:val="00897E30"/>
    <w:rsid w:val="008C3CFF"/>
    <w:rsid w:val="008C4102"/>
    <w:rsid w:val="008C48B9"/>
    <w:rsid w:val="008C7832"/>
    <w:rsid w:val="008E4463"/>
    <w:rsid w:val="008E5EF9"/>
    <w:rsid w:val="008F284C"/>
    <w:rsid w:val="008F3C18"/>
    <w:rsid w:val="008F48F3"/>
    <w:rsid w:val="009045BB"/>
    <w:rsid w:val="00906ED5"/>
    <w:rsid w:val="00932455"/>
    <w:rsid w:val="00934DFA"/>
    <w:rsid w:val="00942FC9"/>
    <w:rsid w:val="0094602A"/>
    <w:rsid w:val="00963AB7"/>
    <w:rsid w:val="009645B6"/>
    <w:rsid w:val="009721BF"/>
    <w:rsid w:val="00977731"/>
    <w:rsid w:val="009801A7"/>
    <w:rsid w:val="00986E60"/>
    <w:rsid w:val="0099072D"/>
    <w:rsid w:val="009973B7"/>
    <w:rsid w:val="00997EE4"/>
    <w:rsid w:val="009A1BAA"/>
    <w:rsid w:val="009B5B1B"/>
    <w:rsid w:val="009C2746"/>
    <w:rsid w:val="009C34E1"/>
    <w:rsid w:val="009C68A3"/>
    <w:rsid w:val="009D361D"/>
    <w:rsid w:val="009F2AD5"/>
    <w:rsid w:val="00A00441"/>
    <w:rsid w:val="00A05501"/>
    <w:rsid w:val="00A1107E"/>
    <w:rsid w:val="00A222E7"/>
    <w:rsid w:val="00A36ED1"/>
    <w:rsid w:val="00A51A43"/>
    <w:rsid w:val="00A53AFF"/>
    <w:rsid w:val="00A712A0"/>
    <w:rsid w:val="00A77062"/>
    <w:rsid w:val="00A902AB"/>
    <w:rsid w:val="00A97546"/>
    <w:rsid w:val="00AA4161"/>
    <w:rsid w:val="00AA6922"/>
    <w:rsid w:val="00AB0ACC"/>
    <w:rsid w:val="00AB0C19"/>
    <w:rsid w:val="00AC2E96"/>
    <w:rsid w:val="00AC6932"/>
    <w:rsid w:val="00AD44DF"/>
    <w:rsid w:val="00AE2489"/>
    <w:rsid w:val="00AE29A0"/>
    <w:rsid w:val="00AE2E71"/>
    <w:rsid w:val="00AE5C13"/>
    <w:rsid w:val="00AE6E5C"/>
    <w:rsid w:val="00AF37F9"/>
    <w:rsid w:val="00B00B4A"/>
    <w:rsid w:val="00B0324A"/>
    <w:rsid w:val="00B1470C"/>
    <w:rsid w:val="00B43972"/>
    <w:rsid w:val="00B60364"/>
    <w:rsid w:val="00B6253F"/>
    <w:rsid w:val="00B73CB4"/>
    <w:rsid w:val="00B747F3"/>
    <w:rsid w:val="00B762C1"/>
    <w:rsid w:val="00B8307E"/>
    <w:rsid w:val="00B84AD8"/>
    <w:rsid w:val="00BC14F5"/>
    <w:rsid w:val="00BD173B"/>
    <w:rsid w:val="00BD74EE"/>
    <w:rsid w:val="00BE627D"/>
    <w:rsid w:val="00C126DA"/>
    <w:rsid w:val="00C15DCE"/>
    <w:rsid w:val="00C33E7D"/>
    <w:rsid w:val="00C416C2"/>
    <w:rsid w:val="00C525EF"/>
    <w:rsid w:val="00C63EF0"/>
    <w:rsid w:val="00C82CBC"/>
    <w:rsid w:val="00CA1E70"/>
    <w:rsid w:val="00CA2A07"/>
    <w:rsid w:val="00CA5975"/>
    <w:rsid w:val="00CB1D61"/>
    <w:rsid w:val="00CF5F67"/>
    <w:rsid w:val="00D012A4"/>
    <w:rsid w:val="00D24848"/>
    <w:rsid w:val="00D26FEC"/>
    <w:rsid w:val="00D335C4"/>
    <w:rsid w:val="00D37935"/>
    <w:rsid w:val="00D579D9"/>
    <w:rsid w:val="00D64796"/>
    <w:rsid w:val="00D74B28"/>
    <w:rsid w:val="00D97269"/>
    <w:rsid w:val="00DA0F93"/>
    <w:rsid w:val="00DA14EC"/>
    <w:rsid w:val="00DB259C"/>
    <w:rsid w:val="00DC33F2"/>
    <w:rsid w:val="00DC4DA1"/>
    <w:rsid w:val="00DD102D"/>
    <w:rsid w:val="00DD3A3D"/>
    <w:rsid w:val="00DE54B5"/>
    <w:rsid w:val="00DF3D03"/>
    <w:rsid w:val="00E10102"/>
    <w:rsid w:val="00E13CCE"/>
    <w:rsid w:val="00E23C3F"/>
    <w:rsid w:val="00E43329"/>
    <w:rsid w:val="00E45447"/>
    <w:rsid w:val="00E551DF"/>
    <w:rsid w:val="00E57D23"/>
    <w:rsid w:val="00E62C61"/>
    <w:rsid w:val="00E74CE9"/>
    <w:rsid w:val="00E86108"/>
    <w:rsid w:val="00E957FD"/>
    <w:rsid w:val="00EA4911"/>
    <w:rsid w:val="00EB16A2"/>
    <w:rsid w:val="00EB760E"/>
    <w:rsid w:val="00EC5E53"/>
    <w:rsid w:val="00EE2256"/>
    <w:rsid w:val="00EE31F3"/>
    <w:rsid w:val="00EF3A9C"/>
    <w:rsid w:val="00EF4462"/>
    <w:rsid w:val="00EF7C34"/>
    <w:rsid w:val="00F00016"/>
    <w:rsid w:val="00F07508"/>
    <w:rsid w:val="00F124CA"/>
    <w:rsid w:val="00F200C6"/>
    <w:rsid w:val="00F20FC5"/>
    <w:rsid w:val="00F25167"/>
    <w:rsid w:val="00F2713D"/>
    <w:rsid w:val="00F27489"/>
    <w:rsid w:val="00F326E6"/>
    <w:rsid w:val="00F34561"/>
    <w:rsid w:val="00F3671C"/>
    <w:rsid w:val="00F435DE"/>
    <w:rsid w:val="00F43915"/>
    <w:rsid w:val="00F678CE"/>
    <w:rsid w:val="00F7372A"/>
    <w:rsid w:val="00F7628F"/>
    <w:rsid w:val="00F95F51"/>
    <w:rsid w:val="00FA34AC"/>
    <w:rsid w:val="00FA4E7E"/>
    <w:rsid w:val="00FB34FB"/>
    <w:rsid w:val="00FB4AB6"/>
    <w:rsid w:val="00FC0157"/>
    <w:rsid w:val="00FD056B"/>
    <w:rsid w:val="00FD49F1"/>
    <w:rsid w:val="00FE37E3"/>
    <w:rsid w:val="00FF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1EC"/>
  </w:style>
  <w:style w:type="paragraph" w:styleId="Heading1">
    <w:name w:val="heading 1"/>
    <w:basedOn w:val="Normal"/>
    <w:next w:val="Normal"/>
    <w:link w:val="Heading1Char"/>
    <w:uiPriority w:val="9"/>
    <w:qFormat/>
    <w:rsid w:val="009C68A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C68A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C68A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C68A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C68A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C68A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C68A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C68A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C68A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8A3"/>
    <w:pPr>
      <w:ind w:left="720"/>
      <w:contextualSpacing/>
    </w:pPr>
  </w:style>
  <w:style w:type="character" w:customStyle="1" w:styleId="Heading1Char">
    <w:name w:val="Heading 1 Char"/>
    <w:basedOn w:val="DefaultParagraphFont"/>
    <w:link w:val="Heading1"/>
    <w:uiPriority w:val="9"/>
    <w:rsid w:val="009C68A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C68A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C68A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C68A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C68A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C68A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C68A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C68A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C68A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C68A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C68A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C68A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C68A3"/>
    <w:rPr>
      <w:rFonts w:asciiTheme="majorHAnsi" w:eastAsiaTheme="majorEastAsia" w:hAnsiTheme="majorHAnsi" w:cstheme="majorBidi"/>
      <w:i/>
      <w:iCs/>
      <w:spacing w:val="13"/>
      <w:sz w:val="24"/>
      <w:szCs w:val="24"/>
    </w:rPr>
  </w:style>
  <w:style w:type="character" w:styleId="Strong">
    <w:name w:val="Strong"/>
    <w:uiPriority w:val="22"/>
    <w:qFormat/>
    <w:rsid w:val="009C68A3"/>
    <w:rPr>
      <w:b/>
      <w:bCs/>
    </w:rPr>
  </w:style>
  <w:style w:type="character" w:styleId="Emphasis">
    <w:name w:val="Emphasis"/>
    <w:uiPriority w:val="20"/>
    <w:qFormat/>
    <w:rsid w:val="009C68A3"/>
    <w:rPr>
      <w:b/>
      <w:bCs/>
      <w:i/>
      <w:iCs/>
      <w:spacing w:val="10"/>
      <w:bdr w:val="none" w:sz="0" w:space="0" w:color="auto"/>
      <w:shd w:val="clear" w:color="auto" w:fill="auto"/>
    </w:rPr>
  </w:style>
  <w:style w:type="paragraph" w:styleId="NoSpacing">
    <w:name w:val="No Spacing"/>
    <w:basedOn w:val="Normal"/>
    <w:uiPriority w:val="1"/>
    <w:qFormat/>
    <w:rsid w:val="009C68A3"/>
    <w:pPr>
      <w:spacing w:after="0" w:line="240" w:lineRule="auto"/>
    </w:pPr>
  </w:style>
  <w:style w:type="paragraph" w:styleId="Quote">
    <w:name w:val="Quote"/>
    <w:basedOn w:val="Normal"/>
    <w:next w:val="Normal"/>
    <w:link w:val="QuoteChar"/>
    <w:uiPriority w:val="29"/>
    <w:qFormat/>
    <w:rsid w:val="009C68A3"/>
    <w:pPr>
      <w:spacing w:before="200" w:after="0"/>
      <w:ind w:left="360" w:right="360"/>
    </w:pPr>
    <w:rPr>
      <w:i/>
      <w:iCs/>
    </w:rPr>
  </w:style>
  <w:style w:type="character" w:customStyle="1" w:styleId="QuoteChar">
    <w:name w:val="Quote Char"/>
    <w:basedOn w:val="DefaultParagraphFont"/>
    <w:link w:val="Quote"/>
    <w:uiPriority w:val="29"/>
    <w:rsid w:val="009C68A3"/>
    <w:rPr>
      <w:i/>
      <w:iCs/>
    </w:rPr>
  </w:style>
  <w:style w:type="paragraph" w:styleId="IntenseQuote">
    <w:name w:val="Intense Quote"/>
    <w:basedOn w:val="Normal"/>
    <w:next w:val="Normal"/>
    <w:link w:val="IntenseQuoteChar"/>
    <w:uiPriority w:val="30"/>
    <w:qFormat/>
    <w:rsid w:val="009C68A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C68A3"/>
    <w:rPr>
      <w:b/>
      <w:bCs/>
      <w:i/>
      <w:iCs/>
    </w:rPr>
  </w:style>
  <w:style w:type="character" w:styleId="SubtleEmphasis">
    <w:name w:val="Subtle Emphasis"/>
    <w:uiPriority w:val="19"/>
    <w:qFormat/>
    <w:rsid w:val="009C68A3"/>
    <w:rPr>
      <w:i/>
      <w:iCs/>
    </w:rPr>
  </w:style>
  <w:style w:type="character" w:styleId="IntenseEmphasis">
    <w:name w:val="Intense Emphasis"/>
    <w:uiPriority w:val="21"/>
    <w:qFormat/>
    <w:rsid w:val="009C68A3"/>
    <w:rPr>
      <w:b/>
      <w:bCs/>
    </w:rPr>
  </w:style>
  <w:style w:type="character" w:styleId="SubtleReference">
    <w:name w:val="Subtle Reference"/>
    <w:uiPriority w:val="31"/>
    <w:qFormat/>
    <w:rsid w:val="009C68A3"/>
    <w:rPr>
      <w:smallCaps/>
    </w:rPr>
  </w:style>
  <w:style w:type="character" w:styleId="IntenseReference">
    <w:name w:val="Intense Reference"/>
    <w:uiPriority w:val="32"/>
    <w:qFormat/>
    <w:rsid w:val="009C68A3"/>
    <w:rPr>
      <w:smallCaps/>
      <w:spacing w:val="5"/>
      <w:u w:val="single"/>
    </w:rPr>
  </w:style>
  <w:style w:type="character" w:styleId="BookTitle">
    <w:name w:val="Book Title"/>
    <w:uiPriority w:val="33"/>
    <w:qFormat/>
    <w:rsid w:val="009C68A3"/>
    <w:rPr>
      <w:i/>
      <w:iCs/>
      <w:smallCaps/>
      <w:spacing w:val="5"/>
    </w:rPr>
  </w:style>
  <w:style w:type="paragraph" w:styleId="TOCHeading">
    <w:name w:val="TOC Heading"/>
    <w:basedOn w:val="Heading1"/>
    <w:next w:val="Normal"/>
    <w:uiPriority w:val="39"/>
    <w:semiHidden/>
    <w:unhideWhenUsed/>
    <w:qFormat/>
    <w:rsid w:val="009C68A3"/>
    <w:pPr>
      <w:outlineLvl w:val="9"/>
    </w:pPr>
  </w:style>
  <w:style w:type="paragraph" w:customStyle="1" w:styleId="Default">
    <w:name w:val="Default"/>
    <w:rsid w:val="000E0B9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B760E"/>
    <w:pPr>
      <w:tabs>
        <w:tab w:val="center" w:pos="4680"/>
        <w:tab w:val="right" w:pos="9360"/>
      </w:tabs>
      <w:spacing w:after="0" w:line="240" w:lineRule="auto"/>
    </w:pPr>
    <w:rPr>
      <w:rFonts w:eastAsiaTheme="minorHAnsi"/>
      <w:lang w:bidi="en-US"/>
    </w:rPr>
  </w:style>
  <w:style w:type="character" w:customStyle="1" w:styleId="HeaderChar">
    <w:name w:val="Header Char"/>
    <w:basedOn w:val="DefaultParagraphFont"/>
    <w:link w:val="Header"/>
    <w:uiPriority w:val="99"/>
    <w:rsid w:val="00162C2D"/>
    <w:rPr>
      <w:rFonts w:eastAsiaTheme="minorHAnsi"/>
      <w:lang w:bidi="en-US"/>
    </w:rPr>
  </w:style>
  <w:style w:type="paragraph" w:styleId="Footer">
    <w:name w:val="footer"/>
    <w:basedOn w:val="Normal"/>
    <w:link w:val="FooterChar"/>
    <w:uiPriority w:val="99"/>
    <w:unhideWhenUsed/>
    <w:rsid w:val="00EB760E"/>
    <w:pPr>
      <w:tabs>
        <w:tab w:val="center" w:pos="4680"/>
        <w:tab w:val="right" w:pos="9360"/>
      </w:tabs>
      <w:spacing w:after="0" w:line="240" w:lineRule="auto"/>
    </w:pPr>
    <w:rPr>
      <w:rFonts w:eastAsiaTheme="minorHAnsi"/>
      <w:lang w:bidi="en-US"/>
    </w:rPr>
  </w:style>
  <w:style w:type="character" w:customStyle="1" w:styleId="FooterChar">
    <w:name w:val="Footer Char"/>
    <w:basedOn w:val="DefaultParagraphFont"/>
    <w:link w:val="Footer"/>
    <w:uiPriority w:val="99"/>
    <w:rsid w:val="00162C2D"/>
    <w:rPr>
      <w:rFonts w:eastAsiaTheme="minorHAnsi"/>
      <w:lang w:bidi="en-US"/>
    </w:rPr>
  </w:style>
  <w:style w:type="paragraph" w:styleId="FootnoteText">
    <w:name w:val="footnote text"/>
    <w:basedOn w:val="Normal"/>
    <w:link w:val="FootnoteTextChar"/>
    <w:uiPriority w:val="99"/>
    <w:unhideWhenUsed/>
    <w:rsid w:val="00EB760E"/>
    <w:pPr>
      <w:spacing w:after="0" w:line="240" w:lineRule="auto"/>
    </w:pPr>
    <w:rPr>
      <w:rFonts w:eastAsiaTheme="minorHAnsi"/>
      <w:sz w:val="20"/>
      <w:szCs w:val="20"/>
      <w:lang w:bidi="en-US"/>
    </w:rPr>
  </w:style>
  <w:style w:type="character" w:customStyle="1" w:styleId="FootnoteTextChar">
    <w:name w:val="Footnote Text Char"/>
    <w:basedOn w:val="DefaultParagraphFont"/>
    <w:link w:val="FootnoteText"/>
    <w:uiPriority w:val="99"/>
    <w:rsid w:val="00C63EF0"/>
    <w:rPr>
      <w:rFonts w:eastAsiaTheme="minorHAnsi"/>
      <w:sz w:val="20"/>
      <w:szCs w:val="20"/>
      <w:lang w:bidi="en-US"/>
    </w:rPr>
  </w:style>
  <w:style w:type="character" w:styleId="FootnoteReference">
    <w:name w:val="footnote reference"/>
    <w:basedOn w:val="DefaultParagraphFont"/>
    <w:uiPriority w:val="99"/>
    <w:unhideWhenUsed/>
    <w:rsid w:val="00EB760E"/>
    <w:rPr>
      <w:vertAlign w:val="superscript"/>
    </w:rPr>
  </w:style>
  <w:style w:type="character" w:styleId="Hyperlink">
    <w:name w:val="Hyperlink"/>
    <w:basedOn w:val="DefaultParagraphFont"/>
    <w:uiPriority w:val="99"/>
    <w:unhideWhenUsed/>
    <w:rsid w:val="00717C92"/>
    <w:rPr>
      <w:color w:val="0000FF" w:themeColor="hyperlink"/>
      <w:u w:val="single"/>
    </w:rPr>
  </w:style>
  <w:style w:type="paragraph" w:styleId="BalloonText">
    <w:name w:val="Balloon Text"/>
    <w:basedOn w:val="Normal"/>
    <w:link w:val="BalloonTextChar"/>
    <w:uiPriority w:val="99"/>
    <w:semiHidden/>
    <w:unhideWhenUsed/>
    <w:rsid w:val="003D7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AE9"/>
    <w:rPr>
      <w:rFonts w:ascii="Tahoma" w:hAnsi="Tahoma" w:cs="Tahoma"/>
      <w:sz w:val="16"/>
      <w:szCs w:val="16"/>
    </w:rPr>
  </w:style>
  <w:style w:type="character" w:styleId="CommentReference">
    <w:name w:val="annotation reference"/>
    <w:basedOn w:val="DefaultParagraphFont"/>
    <w:uiPriority w:val="99"/>
    <w:semiHidden/>
    <w:unhideWhenUsed/>
    <w:rsid w:val="005E4C71"/>
    <w:rPr>
      <w:sz w:val="16"/>
      <w:szCs w:val="16"/>
    </w:rPr>
  </w:style>
  <w:style w:type="paragraph" w:styleId="CommentText">
    <w:name w:val="annotation text"/>
    <w:basedOn w:val="Normal"/>
    <w:link w:val="CommentTextChar"/>
    <w:uiPriority w:val="99"/>
    <w:semiHidden/>
    <w:unhideWhenUsed/>
    <w:rsid w:val="005E4C71"/>
    <w:pPr>
      <w:spacing w:line="240" w:lineRule="auto"/>
    </w:pPr>
    <w:rPr>
      <w:sz w:val="20"/>
      <w:szCs w:val="20"/>
    </w:rPr>
  </w:style>
  <w:style w:type="character" w:customStyle="1" w:styleId="CommentTextChar">
    <w:name w:val="Comment Text Char"/>
    <w:basedOn w:val="DefaultParagraphFont"/>
    <w:link w:val="CommentText"/>
    <w:uiPriority w:val="99"/>
    <w:semiHidden/>
    <w:rsid w:val="005E4C71"/>
    <w:rPr>
      <w:sz w:val="20"/>
      <w:szCs w:val="20"/>
    </w:rPr>
  </w:style>
  <w:style w:type="paragraph" w:styleId="CommentSubject">
    <w:name w:val="annotation subject"/>
    <w:basedOn w:val="CommentText"/>
    <w:next w:val="CommentText"/>
    <w:link w:val="CommentSubjectChar"/>
    <w:uiPriority w:val="99"/>
    <w:semiHidden/>
    <w:unhideWhenUsed/>
    <w:rsid w:val="005E4C71"/>
    <w:rPr>
      <w:b/>
      <w:bCs/>
    </w:rPr>
  </w:style>
  <w:style w:type="character" w:customStyle="1" w:styleId="CommentSubjectChar">
    <w:name w:val="Comment Subject Char"/>
    <w:basedOn w:val="CommentTextChar"/>
    <w:link w:val="CommentSubject"/>
    <w:uiPriority w:val="99"/>
    <w:semiHidden/>
    <w:rsid w:val="005E4C71"/>
    <w:rPr>
      <w:b/>
      <w:bCs/>
      <w:sz w:val="20"/>
      <w:szCs w:val="20"/>
    </w:rPr>
  </w:style>
  <w:style w:type="paragraph" w:styleId="Revision">
    <w:name w:val="Revision"/>
    <w:hidden/>
    <w:uiPriority w:val="99"/>
    <w:semiHidden/>
    <w:rsid w:val="00EB76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68A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C68A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C68A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C68A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C68A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C68A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C68A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C68A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C68A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8A3"/>
    <w:pPr>
      <w:ind w:left="720"/>
      <w:contextualSpacing/>
    </w:pPr>
  </w:style>
  <w:style w:type="character" w:customStyle="1" w:styleId="Heading1Char">
    <w:name w:val="Heading 1 Char"/>
    <w:basedOn w:val="DefaultParagraphFont"/>
    <w:link w:val="Heading1"/>
    <w:uiPriority w:val="9"/>
    <w:rsid w:val="009C68A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C68A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C68A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C68A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C68A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C68A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C68A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C68A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C68A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C68A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C68A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C68A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C68A3"/>
    <w:rPr>
      <w:rFonts w:asciiTheme="majorHAnsi" w:eastAsiaTheme="majorEastAsia" w:hAnsiTheme="majorHAnsi" w:cstheme="majorBidi"/>
      <w:i/>
      <w:iCs/>
      <w:spacing w:val="13"/>
      <w:sz w:val="24"/>
      <w:szCs w:val="24"/>
    </w:rPr>
  </w:style>
  <w:style w:type="character" w:styleId="Strong">
    <w:name w:val="Strong"/>
    <w:uiPriority w:val="22"/>
    <w:qFormat/>
    <w:rsid w:val="009C68A3"/>
    <w:rPr>
      <w:b/>
      <w:bCs/>
    </w:rPr>
  </w:style>
  <w:style w:type="character" w:styleId="Emphasis">
    <w:name w:val="Emphasis"/>
    <w:uiPriority w:val="20"/>
    <w:qFormat/>
    <w:rsid w:val="009C68A3"/>
    <w:rPr>
      <w:b/>
      <w:bCs/>
      <w:i/>
      <w:iCs/>
      <w:spacing w:val="10"/>
      <w:bdr w:val="none" w:sz="0" w:space="0" w:color="auto"/>
      <w:shd w:val="clear" w:color="auto" w:fill="auto"/>
    </w:rPr>
  </w:style>
  <w:style w:type="paragraph" w:styleId="NoSpacing">
    <w:name w:val="No Spacing"/>
    <w:basedOn w:val="Normal"/>
    <w:uiPriority w:val="1"/>
    <w:qFormat/>
    <w:rsid w:val="009C68A3"/>
    <w:pPr>
      <w:spacing w:after="0" w:line="240" w:lineRule="auto"/>
    </w:pPr>
  </w:style>
  <w:style w:type="paragraph" w:styleId="Quote">
    <w:name w:val="Quote"/>
    <w:basedOn w:val="Normal"/>
    <w:next w:val="Normal"/>
    <w:link w:val="QuoteChar"/>
    <w:uiPriority w:val="29"/>
    <w:qFormat/>
    <w:rsid w:val="009C68A3"/>
    <w:pPr>
      <w:spacing w:before="200" w:after="0"/>
      <w:ind w:left="360" w:right="360"/>
    </w:pPr>
    <w:rPr>
      <w:i/>
      <w:iCs/>
    </w:rPr>
  </w:style>
  <w:style w:type="character" w:customStyle="1" w:styleId="QuoteChar">
    <w:name w:val="Quote Char"/>
    <w:basedOn w:val="DefaultParagraphFont"/>
    <w:link w:val="Quote"/>
    <w:uiPriority w:val="29"/>
    <w:rsid w:val="009C68A3"/>
    <w:rPr>
      <w:i/>
      <w:iCs/>
    </w:rPr>
  </w:style>
  <w:style w:type="paragraph" w:styleId="IntenseQuote">
    <w:name w:val="Intense Quote"/>
    <w:basedOn w:val="Normal"/>
    <w:next w:val="Normal"/>
    <w:link w:val="IntenseQuoteChar"/>
    <w:uiPriority w:val="30"/>
    <w:qFormat/>
    <w:rsid w:val="009C68A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C68A3"/>
    <w:rPr>
      <w:b/>
      <w:bCs/>
      <w:i/>
      <w:iCs/>
    </w:rPr>
  </w:style>
  <w:style w:type="character" w:styleId="SubtleEmphasis">
    <w:name w:val="Subtle Emphasis"/>
    <w:uiPriority w:val="19"/>
    <w:qFormat/>
    <w:rsid w:val="009C68A3"/>
    <w:rPr>
      <w:i/>
      <w:iCs/>
    </w:rPr>
  </w:style>
  <w:style w:type="character" w:styleId="IntenseEmphasis">
    <w:name w:val="Intense Emphasis"/>
    <w:uiPriority w:val="21"/>
    <w:qFormat/>
    <w:rsid w:val="009C68A3"/>
    <w:rPr>
      <w:b/>
      <w:bCs/>
    </w:rPr>
  </w:style>
  <w:style w:type="character" w:styleId="SubtleReference">
    <w:name w:val="Subtle Reference"/>
    <w:uiPriority w:val="31"/>
    <w:qFormat/>
    <w:rsid w:val="009C68A3"/>
    <w:rPr>
      <w:smallCaps/>
    </w:rPr>
  </w:style>
  <w:style w:type="character" w:styleId="IntenseReference">
    <w:name w:val="Intense Reference"/>
    <w:uiPriority w:val="32"/>
    <w:qFormat/>
    <w:rsid w:val="009C68A3"/>
    <w:rPr>
      <w:smallCaps/>
      <w:spacing w:val="5"/>
      <w:u w:val="single"/>
    </w:rPr>
  </w:style>
  <w:style w:type="character" w:styleId="BookTitle">
    <w:name w:val="Book Title"/>
    <w:uiPriority w:val="33"/>
    <w:qFormat/>
    <w:rsid w:val="009C68A3"/>
    <w:rPr>
      <w:i/>
      <w:iCs/>
      <w:smallCaps/>
      <w:spacing w:val="5"/>
    </w:rPr>
  </w:style>
  <w:style w:type="paragraph" w:styleId="TOCHeading">
    <w:name w:val="TOC Heading"/>
    <w:basedOn w:val="Heading1"/>
    <w:next w:val="Normal"/>
    <w:uiPriority w:val="39"/>
    <w:semiHidden/>
    <w:unhideWhenUsed/>
    <w:qFormat/>
    <w:rsid w:val="009C68A3"/>
    <w:pPr>
      <w:outlineLvl w:val="9"/>
    </w:pPr>
  </w:style>
  <w:style w:type="paragraph" w:customStyle="1" w:styleId="Default">
    <w:name w:val="Default"/>
    <w:rsid w:val="000E0B9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B760E"/>
    <w:pPr>
      <w:tabs>
        <w:tab w:val="center" w:pos="4680"/>
        <w:tab w:val="right" w:pos="9360"/>
      </w:tabs>
      <w:spacing w:after="0" w:line="240" w:lineRule="auto"/>
    </w:pPr>
    <w:rPr>
      <w:rFonts w:eastAsiaTheme="minorHAnsi"/>
      <w:lang w:bidi="en-US"/>
    </w:rPr>
  </w:style>
  <w:style w:type="character" w:customStyle="1" w:styleId="HeaderChar">
    <w:name w:val="Header Char"/>
    <w:basedOn w:val="DefaultParagraphFont"/>
    <w:link w:val="Header"/>
    <w:uiPriority w:val="99"/>
    <w:rsid w:val="00162C2D"/>
    <w:rPr>
      <w:rFonts w:eastAsiaTheme="minorHAnsi"/>
      <w:lang w:bidi="en-US"/>
    </w:rPr>
  </w:style>
  <w:style w:type="paragraph" w:styleId="Footer">
    <w:name w:val="footer"/>
    <w:basedOn w:val="Normal"/>
    <w:link w:val="FooterChar"/>
    <w:uiPriority w:val="99"/>
    <w:unhideWhenUsed/>
    <w:rsid w:val="00EB760E"/>
    <w:pPr>
      <w:tabs>
        <w:tab w:val="center" w:pos="4680"/>
        <w:tab w:val="right" w:pos="9360"/>
      </w:tabs>
      <w:spacing w:after="0" w:line="240" w:lineRule="auto"/>
    </w:pPr>
    <w:rPr>
      <w:rFonts w:eastAsiaTheme="minorHAnsi"/>
      <w:lang w:bidi="en-US"/>
    </w:rPr>
  </w:style>
  <w:style w:type="character" w:customStyle="1" w:styleId="FooterChar">
    <w:name w:val="Footer Char"/>
    <w:basedOn w:val="DefaultParagraphFont"/>
    <w:link w:val="Footer"/>
    <w:uiPriority w:val="99"/>
    <w:rsid w:val="00162C2D"/>
    <w:rPr>
      <w:rFonts w:eastAsiaTheme="minorHAnsi"/>
      <w:lang w:bidi="en-US"/>
    </w:rPr>
  </w:style>
  <w:style w:type="paragraph" w:styleId="FootnoteText">
    <w:name w:val="footnote text"/>
    <w:basedOn w:val="Normal"/>
    <w:link w:val="FootnoteTextChar"/>
    <w:uiPriority w:val="99"/>
    <w:unhideWhenUsed/>
    <w:rsid w:val="00EB760E"/>
    <w:pPr>
      <w:spacing w:after="0" w:line="240" w:lineRule="auto"/>
    </w:pPr>
    <w:rPr>
      <w:rFonts w:eastAsiaTheme="minorHAnsi"/>
      <w:sz w:val="20"/>
      <w:szCs w:val="20"/>
      <w:lang w:bidi="en-US"/>
    </w:rPr>
  </w:style>
  <w:style w:type="character" w:customStyle="1" w:styleId="FootnoteTextChar">
    <w:name w:val="Footnote Text Char"/>
    <w:basedOn w:val="DefaultParagraphFont"/>
    <w:link w:val="FootnoteText"/>
    <w:uiPriority w:val="99"/>
    <w:rsid w:val="00C63EF0"/>
    <w:rPr>
      <w:rFonts w:eastAsiaTheme="minorHAnsi"/>
      <w:sz w:val="20"/>
      <w:szCs w:val="20"/>
      <w:lang w:bidi="en-US"/>
    </w:rPr>
  </w:style>
  <w:style w:type="character" w:styleId="FootnoteReference">
    <w:name w:val="footnote reference"/>
    <w:basedOn w:val="DefaultParagraphFont"/>
    <w:uiPriority w:val="99"/>
    <w:unhideWhenUsed/>
    <w:rsid w:val="00EB760E"/>
    <w:rPr>
      <w:vertAlign w:val="superscript"/>
    </w:rPr>
  </w:style>
  <w:style w:type="character" w:styleId="Hyperlink">
    <w:name w:val="Hyperlink"/>
    <w:basedOn w:val="DefaultParagraphFont"/>
    <w:uiPriority w:val="99"/>
    <w:unhideWhenUsed/>
    <w:rsid w:val="00717C92"/>
    <w:rPr>
      <w:color w:val="0000FF" w:themeColor="hyperlink"/>
      <w:u w:val="single"/>
    </w:rPr>
  </w:style>
  <w:style w:type="paragraph" w:styleId="BalloonText">
    <w:name w:val="Balloon Text"/>
    <w:basedOn w:val="Normal"/>
    <w:link w:val="BalloonTextChar"/>
    <w:uiPriority w:val="99"/>
    <w:semiHidden/>
    <w:unhideWhenUsed/>
    <w:rsid w:val="003D7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AE9"/>
    <w:rPr>
      <w:rFonts w:ascii="Tahoma" w:hAnsi="Tahoma" w:cs="Tahoma"/>
      <w:sz w:val="16"/>
      <w:szCs w:val="16"/>
    </w:rPr>
  </w:style>
  <w:style w:type="character" w:styleId="CommentReference">
    <w:name w:val="annotation reference"/>
    <w:basedOn w:val="DefaultParagraphFont"/>
    <w:uiPriority w:val="99"/>
    <w:semiHidden/>
    <w:unhideWhenUsed/>
    <w:rsid w:val="005E4C71"/>
    <w:rPr>
      <w:sz w:val="16"/>
      <w:szCs w:val="16"/>
    </w:rPr>
  </w:style>
  <w:style w:type="paragraph" w:styleId="CommentText">
    <w:name w:val="annotation text"/>
    <w:basedOn w:val="Normal"/>
    <w:link w:val="CommentTextChar"/>
    <w:uiPriority w:val="99"/>
    <w:semiHidden/>
    <w:unhideWhenUsed/>
    <w:rsid w:val="005E4C71"/>
    <w:pPr>
      <w:spacing w:line="240" w:lineRule="auto"/>
    </w:pPr>
    <w:rPr>
      <w:sz w:val="20"/>
      <w:szCs w:val="20"/>
    </w:rPr>
  </w:style>
  <w:style w:type="character" w:customStyle="1" w:styleId="CommentTextChar">
    <w:name w:val="Comment Text Char"/>
    <w:basedOn w:val="DefaultParagraphFont"/>
    <w:link w:val="CommentText"/>
    <w:uiPriority w:val="99"/>
    <w:semiHidden/>
    <w:rsid w:val="005E4C71"/>
    <w:rPr>
      <w:sz w:val="20"/>
      <w:szCs w:val="20"/>
    </w:rPr>
  </w:style>
  <w:style w:type="paragraph" w:styleId="CommentSubject">
    <w:name w:val="annotation subject"/>
    <w:basedOn w:val="CommentText"/>
    <w:next w:val="CommentText"/>
    <w:link w:val="CommentSubjectChar"/>
    <w:uiPriority w:val="99"/>
    <w:semiHidden/>
    <w:unhideWhenUsed/>
    <w:rsid w:val="005E4C71"/>
    <w:rPr>
      <w:b/>
      <w:bCs/>
    </w:rPr>
  </w:style>
  <w:style w:type="character" w:customStyle="1" w:styleId="CommentSubjectChar">
    <w:name w:val="Comment Subject Char"/>
    <w:basedOn w:val="CommentTextChar"/>
    <w:link w:val="CommentSubject"/>
    <w:uiPriority w:val="99"/>
    <w:semiHidden/>
    <w:rsid w:val="005E4C71"/>
    <w:rPr>
      <w:b/>
      <w:bCs/>
      <w:sz w:val="20"/>
      <w:szCs w:val="20"/>
    </w:rPr>
  </w:style>
  <w:style w:type="paragraph" w:styleId="Revision">
    <w:name w:val="Revision"/>
    <w:hidden/>
    <w:uiPriority w:val="99"/>
    <w:semiHidden/>
    <w:rsid w:val="00EB76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3792">
      <w:bodyDiv w:val="1"/>
      <w:marLeft w:val="0"/>
      <w:marRight w:val="0"/>
      <w:marTop w:val="0"/>
      <w:marBottom w:val="0"/>
      <w:divBdr>
        <w:top w:val="none" w:sz="0" w:space="0" w:color="auto"/>
        <w:left w:val="none" w:sz="0" w:space="0" w:color="auto"/>
        <w:bottom w:val="none" w:sz="0" w:space="0" w:color="auto"/>
        <w:right w:val="none" w:sz="0" w:space="0" w:color="auto"/>
      </w:divBdr>
      <w:divsChild>
        <w:div w:id="635794897">
          <w:marLeft w:val="0"/>
          <w:marRight w:val="0"/>
          <w:marTop w:val="0"/>
          <w:marBottom w:val="0"/>
          <w:divBdr>
            <w:top w:val="none" w:sz="0" w:space="0" w:color="auto"/>
            <w:left w:val="none" w:sz="0" w:space="0" w:color="auto"/>
            <w:bottom w:val="none" w:sz="0" w:space="0" w:color="auto"/>
            <w:right w:val="none" w:sz="0" w:space="0" w:color="auto"/>
          </w:divBdr>
        </w:div>
        <w:div w:id="248583954">
          <w:marLeft w:val="0"/>
          <w:marRight w:val="0"/>
          <w:marTop w:val="0"/>
          <w:marBottom w:val="0"/>
          <w:divBdr>
            <w:top w:val="none" w:sz="0" w:space="0" w:color="auto"/>
            <w:left w:val="none" w:sz="0" w:space="0" w:color="auto"/>
            <w:bottom w:val="none" w:sz="0" w:space="0" w:color="auto"/>
            <w:right w:val="none" w:sz="0" w:space="0" w:color="auto"/>
          </w:divBdr>
        </w:div>
        <w:div w:id="691541715">
          <w:marLeft w:val="0"/>
          <w:marRight w:val="0"/>
          <w:marTop w:val="0"/>
          <w:marBottom w:val="0"/>
          <w:divBdr>
            <w:top w:val="none" w:sz="0" w:space="0" w:color="auto"/>
            <w:left w:val="none" w:sz="0" w:space="0" w:color="auto"/>
            <w:bottom w:val="none" w:sz="0" w:space="0" w:color="auto"/>
            <w:right w:val="none" w:sz="0" w:space="0" w:color="auto"/>
          </w:divBdr>
        </w:div>
        <w:div w:id="505755932">
          <w:marLeft w:val="0"/>
          <w:marRight w:val="0"/>
          <w:marTop w:val="0"/>
          <w:marBottom w:val="0"/>
          <w:divBdr>
            <w:top w:val="none" w:sz="0" w:space="0" w:color="auto"/>
            <w:left w:val="none" w:sz="0" w:space="0" w:color="auto"/>
            <w:bottom w:val="none" w:sz="0" w:space="0" w:color="auto"/>
            <w:right w:val="none" w:sz="0" w:space="0" w:color="auto"/>
          </w:divBdr>
        </w:div>
        <w:div w:id="306202804">
          <w:marLeft w:val="0"/>
          <w:marRight w:val="0"/>
          <w:marTop w:val="0"/>
          <w:marBottom w:val="0"/>
          <w:divBdr>
            <w:top w:val="none" w:sz="0" w:space="0" w:color="auto"/>
            <w:left w:val="none" w:sz="0" w:space="0" w:color="auto"/>
            <w:bottom w:val="none" w:sz="0" w:space="0" w:color="auto"/>
            <w:right w:val="none" w:sz="0" w:space="0" w:color="auto"/>
          </w:divBdr>
        </w:div>
        <w:div w:id="802383221">
          <w:marLeft w:val="0"/>
          <w:marRight w:val="0"/>
          <w:marTop w:val="0"/>
          <w:marBottom w:val="0"/>
          <w:divBdr>
            <w:top w:val="none" w:sz="0" w:space="0" w:color="auto"/>
            <w:left w:val="none" w:sz="0" w:space="0" w:color="auto"/>
            <w:bottom w:val="none" w:sz="0" w:space="0" w:color="auto"/>
            <w:right w:val="none" w:sz="0" w:space="0" w:color="auto"/>
          </w:divBdr>
        </w:div>
        <w:div w:id="1797600273">
          <w:marLeft w:val="0"/>
          <w:marRight w:val="0"/>
          <w:marTop w:val="0"/>
          <w:marBottom w:val="0"/>
          <w:divBdr>
            <w:top w:val="none" w:sz="0" w:space="0" w:color="auto"/>
            <w:left w:val="none" w:sz="0" w:space="0" w:color="auto"/>
            <w:bottom w:val="none" w:sz="0" w:space="0" w:color="auto"/>
            <w:right w:val="none" w:sz="0" w:space="0" w:color="auto"/>
          </w:divBdr>
        </w:div>
      </w:divsChild>
    </w:div>
    <w:div w:id="375473794">
      <w:bodyDiv w:val="1"/>
      <w:marLeft w:val="0"/>
      <w:marRight w:val="0"/>
      <w:marTop w:val="0"/>
      <w:marBottom w:val="0"/>
      <w:divBdr>
        <w:top w:val="none" w:sz="0" w:space="0" w:color="auto"/>
        <w:left w:val="none" w:sz="0" w:space="0" w:color="auto"/>
        <w:bottom w:val="none" w:sz="0" w:space="0" w:color="auto"/>
        <w:right w:val="none" w:sz="0" w:space="0" w:color="auto"/>
      </w:divBdr>
      <w:divsChild>
        <w:div w:id="257492933">
          <w:marLeft w:val="0"/>
          <w:marRight w:val="0"/>
          <w:marTop w:val="0"/>
          <w:marBottom w:val="0"/>
          <w:divBdr>
            <w:top w:val="none" w:sz="0" w:space="0" w:color="auto"/>
            <w:left w:val="none" w:sz="0" w:space="0" w:color="auto"/>
            <w:bottom w:val="none" w:sz="0" w:space="0" w:color="auto"/>
            <w:right w:val="none" w:sz="0" w:space="0" w:color="auto"/>
          </w:divBdr>
        </w:div>
        <w:div w:id="669793979">
          <w:marLeft w:val="0"/>
          <w:marRight w:val="0"/>
          <w:marTop w:val="0"/>
          <w:marBottom w:val="0"/>
          <w:divBdr>
            <w:top w:val="none" w:sz="0" w:space="0" w:color="auto"/>
            <w:left w:val="none" w:sz="0" w:space="0" w:color="auto"/>
            <w:bottom w:val="none" w:sz="0" w:space="0" w:color="auto"/>
            <w:right w:val="none" w:sz="0" w:space="0" w:color="auto"/>
          </w:divBdr>
        </w:div>
      </w:divsChild>
    </w:div>
    <w:div w:id="471214599">
      <w:bodyDiv w:val="1"/>
      <w:marLeft w:val="0"/>
      <w:marRight w:val="0"/>
      <w:marTop w:val="0"/>
      <w:marBottom w:val="0"/>
      <w:divBdr>
        <w:top w:val="none" w:sz="0" w:space="0" w:color="auto"/>
        <w:left w:val="none" w:sz="0" w:space="0" w:color="auto"/>
        <w:bottom w:val="none" w:sz="0" w:space="0" w:color="auto"/>
        <w:right w:val="none" w:sz="0" w:space="0" w:color="auto"/>
      </w:divBdr>
      <w:divsChild>
        <w:div w:id="53091470">
          <w:marLeft w:val="0"/>
          <w:marRight w:val="0"/>
          <w:marTop w:val="0"/>
          <w:marBottom w:val="0"/>
          <w:divBdr>
            <w:top w:val="none" w:sz="0" w:space="0" w:color="auto"/>
            <w:left w:val="none" w:sz="0" w:space="0" w:color="auto"/>
            <w:bottom w:val="none" w:sz="0" w:space="0" w:color="auto"/>
            <w:right w:val="none" w:sz="0" w:space="0" w:color="auto"/>
          </w:divBdr>
        </w:div>
        <w:div w:id="2094694239">
          <w:marLeft w:val="0"/>
          <w:marRight w:val="0"/>
          <w:marTop w:val="0"/>
          <w:marBottom w:val="0"/>
          <w:divBdr>
            <w:top w:val="none" w:sz="0" w:space="0" w:color="auto"/>
            <w:left w:val="none" w:sz="0" w:space="0" w:color="auto"/>
            <w:bottom w:val="none" w:sz="0" w:space="0" w:color="auto"/>
            <w:right w:val="none" w:sz="0" w:space="0" w:color="auto"/>
          </w:divBdr>
        </w:div>
        <w:div w:id="394090337">
          <w:marLeft w:val="0"/>
          <w:marRight w:val="0"/>
          <w:marTop w:val="0"/>
          <w:marBottom w:val="0"/>
          <w:divBdr>
            <w:top w:val="none" w:sz="0" w:space="0" w:color="auto"/>
            <w:left w:val="none" w:sz="0" w:space="0" w:color="auto"/>
            <w:bottom w:val="none" w:sz="0" w:space="0" w:color="auto"/>
            <w:right w:val="none" w:sz="0" w:space="0" w:color="auto"/>
          </w:divBdr>
        </w:div>
        <w:div w:id="1326855059">
          <w:marLeft w:val="0"/>
          <w:marRight w:val="0"/>
          <w:marTop w:val="0"/>
          <w:marBottom w:val="0"/>
          <w:divBdr>
            <w:top w:val="none" w:sz="0" w:space="0" w:color="auto"/>
            <w:left w:val="none" w:sz="0" w:space="0" w:color="auto"/>
            <w:bottom w:val="none" w:sz="0" w:space="0" w:color="auto"/>
            <w:right w:val="none" w:sz="0" w:space="0" w:color="auto"/>
          </w:divBdr>
        </w:div>
        <w:div w:id="801075919">
          <w:marLeft w:val="0"/>
          <w:marRight w:val="0"/>
          <w:marTop w:val="0"/>
          <w:marBottom w:val="0"/>
          <w:divBdr>
            <w:top w:val="none" w:sz="0" w:space="0" w:color="auto"/>
            <w:left w:val="none" w:sz="0" w:space="0" w:color="auto"/>
            <w:bottom w:val="none" w:sz="0" w:space="0" w:color="auto"/>
            <w:right w:val="none" w:sz="0" w:space="0" w:color="auto"/>
          </w:divBdr>
        </w:div>
        <w:div w:id="640430424">
          <w:marLeft w:val="0"/>
          <w:marRight w:val="0"/>
          <w:marTop w:val="0"/>
          <w:marBottom w:val="0"/>
          <w:divBdr>
            <w:top w:val="none" w:sz="0" w:space="0" w:color="auto"/>
            <w:left w:val="none" w:sz="0" w:space="0" w:color="auto"/>
            <w:bottom w:val="none" w:sz="0" w:space="0" w:color="auto"/>
            <w:right w:val="none" w:sz="0" w:space="0" w:color="auto"/>
          </w:divBdr>
        </w:div>
        <w:div w:id="499781277">
          <w:marLeft w:val="0"/>
          <w:marRight w:val="0"/>
          <w:marTop w:val="0"/>
          <w:marBottom w:val="0"/>
          <w:divBdr>
            <w:top w:val="none" w:sz="0" w:space="0" w:color="auto"/>
            <w:left w:val="none" w:sz="0" w:space="0" w:color="auto"/>
            <w:bottom w:val="none" w:sz="0" w:space="0" w:color="auto"/>
            <w:right w:val="none" w:sz="0" w:space="0" w:color="auto"/>
          </w:divBdr>
        </w:div>
      </w:divsChild>
    </w:div>
    <w:div w:id="878783302">
      <w:bodyDiv w:val="1"/>
      <w:marLeft w:val="0"/>
      <w:marRight w:val="0"/>
      <w:marTop w:val="0"/>
      <w:marBottom w:val="0"/>
      <w:divBdr>
        <w:top w:val="none" w:sz="0" w:space="0" w:color="auto"/>
        <w:left w:val="none" w:sz="0" w:space="0" w:color="auto"/>
        <w:bottom w:val="none" w:sz="0" w:space="0" w:color="auto"/>
        <w:right w:val="none" w:sz="0" w:space="0" w:color="auto"/>
      </w:divBdr>
    </w:div>
    <w:div w:id="886795145">
      <w:bodyDiv w:val="1"/>
      <w:marLeft w:val="0"/>
      <w:marRight w:val="0"/>
      <w:marTop w:val="0"/>
      <w:marBottom w:val="0"/>
      <w:divBdr>
        <w:top w:val="none" w:sz="0" w:space="0" w:color="auto"/>
        <w:left w:val="none" w:sz="0" w:space="0" w:color="auto"/>
        <w:bottom w:val="none" w:sz="0" w:space="0" w:color="auto"/>
        <w:right w:val="none" w:sz="0" w:space="0" w:color="auto"/>
      </w:divBdr>
      <w:divsChild>
        <w:div w:id="874467549">
          <w:marLeft w:val="0"/>
          <w:marRight w:val="0"/>
          <w:marTop w:val="0"/>
          <w:marBottom w:val="0"/>
          <w:divBdr>
            <w:top w:val="none" w:sz="0" w:space="0" w:color="auto"/>
            <w:left w:val="none" w:sz="0" w:space="0" w:color="auto"/>
            <w:bottom w:val="none" w:sz="0" w:space="0" w:color="auto"/>
            <w:right w:val="none" w:sz="0" w:space="0" w:color="auto"/>
          </w:divBdr>
        </w:div>
        <w:div w:id="1320499178">
          <w:marLeft w:val="0"/>
          <w:marRight w:val="0"/>
          <w:marTop w:val="0"/>
          <w:marBottom w:val="0"/>
          <w:divBdr>
            <w:top w:val="none" w:sz="0" w:space="0" w:color="auto"/>
            <w:left w:val="none" w:sz="0" w:space="0" w:color="auto"/>
            <w:bottom w:val="none" w:sz="0" w:space="0" w:color="auto"/>
            <w:right w:val="none" w:sz="0" w:space="0" w:color="auto"/>
          </w:divBdr>
        </w:div>
      </w:divsChild>
    </w:div>
    <w:div w:id="1271548432">
      <w:bodyDiv w:val="1"/>
      <w:marLeft w:val="0"/>
      <w:marRight w:val="0"/>
      <w:marTop w:val="0"/>
      <w:marBottom w:val="0"/>
      <w:divBdr>
        <w:top w:val="none" w:sz="0" w:space="0" w:color="auto"/>
        <w:left w:val="none" w:sz="0" w:space="0" w:color="auto"/>
        <w:bottom w:val="none" w:sz="0" w:space="0" w:color="auto"/>
        <w:right w:val="none" w:sz="0" w:space="0" w:color="auto"/>
      </w:divBdr>
      <w:divsChild>
        <w:div w:id="1415125375">
          <w:marLeft w:val="0"/>
          <w:marRight w:val="0"/>
          <w:marTop w:val="0"/>
          <w:marBottom w:val="0"/>
          <w:divBdr>
            <w:top w:val="none" w:sz="0" w:space="0" w:color="auto"/>
            <w:left w:val="none" w:sz="0" w:space="0" w:color="auto"/>
            <w:bottom w:val="none" w:sz="0" w:space="0" w:color="auto"/>
            <w:right w:val="none" w:sz="0" w:space="0" w:color="auto"/>
          </w:divBdr>
        </w:div>
        <w:div w:id="920261400">
          <w:marLeft w:val="0"/>
          <w:marRight w:val="0"/>
          <w:marTop w:val="0"/>
          <w:marBottom w:val="0"/>
          <w:divBdr>
            <w:top w:val="none" w:sz="0" w:space="0" w:color="auto"/>
            <w:left w:val="none" w:sz="0" w:space="0" w:color="auto"/>
            <w:bottom w:val="none" w:sz="0" w:space="0" w:color="auto"/>
            <w:right w:val="none" w:sz="0" w:space="0" w:color="auto"/>
          </w:divBdr>
        </w:div>
        <w:div w:id="2143225682">
          <w:marLeft w:val="0"/>
          <w:marRight w:val="0"/>
          <w:marTop w:val="0"/>
          <w:marBottom w:val="0"/>
          <w:divBdr>
            <w:top w:val="none" w:sz="0" w:space="0" w:color="auto"/>
            <w:left w:val="none" w:sz="0" w:space="0" w:color="auto"/>
            <w:bottom w:val="none" w:sz="0" w:space="0" w:color="auto"/>
            <w:right w:val="none" w:sz="0" w:space="0" w:color="auto"/>
          </w:divBdr>
        </w:div>
        <w:div w:id="1499272363">
          <w:marLeft w:val="0"/>
          <w:marRight w:val="0"/>
          <w:marTop w:val="0"/>
          <w:marBottom w:val="0"/>
          <w:divBdr>
            <w:top w:val="none" w:sz="0" w:space="0" w:color="auto"/>
            <w:left w:val="none" w:sz="0" w:space="0" w:color="auto"/>
            <w:bottom w:val="none" w:sz="0" w:space="0" w:color="auto"/>
            <w:right w:val="none" w:sz="0" w:space="0" w:color="auto"/>
          </w:divBdr>
        </w:div>
        <w:div w:id="1884445344">
          <w:marLeft w:val="0"/>
          <w:marRight w:val="0"/>
          <w:marTop w:val="0"/>
          <w:marBottom w:val="0"/>
          <w:divBdr>
            <w:top w:val="none" w:sz="0" w:space="0" w:color="auto"/>
            <w:left w:val="none" w:sz="0" w:space="0" w:color="auto"/>
            <w:bottom w:val="none" w:sz="0" w:space="0" w:color="auto"/>
            <w:right w:val="none" w:sz="0" w:space="0" w:color="auto"/>
          </w:divBdr>
        </w:div>
        <w:div w:id="1488400667">
          <w:marLeft w:val="0"/>
          <w:marRight w:val="0"/>
          <w:marTop w:val="0"/>
          <w:marBottom w:val="0"/>
          <w:divBdr>
            <w:top w:val="none" w:sz="0" w:space="0" w:color="auto"/>
            <w:left w:val="none" w:sz="0" w:space="0" w:color="auto"/>
            <w:bottom w:val="none" w:sz="0" w:space="0" w:color="auto"/>
            <w:right w:val="none" w:sz="0" w:space="0" w:color="auto"/>
          </w:divBdr>
        </w:div>
        <w:div w:id="2048950173">
          <w:marLeft w:val="0"/>
          <w:marRight w:val="0"/>
          <w:marTop w:val="0"/>
          <w:marBottom w:val="0"/>
          <w:divBdr>
            <w:top w:val="none" w:sz="0" w:space="0" w:color="auto"/>
            <w:left w:val="none" w:sz="0" w:space="0" w:color="auto"/>
            <w:bottom w:val="none" w:sz="0" w:space="0" w:color="auto"/>
            <w:right w:val="none" w:sz="0" w:space="0" w:color="auto"/>
          </w:divBdr>
        </w:div>
      </w:divsChild>
    </w:div>
    <w:div w:id="1631547351">
      <w:bodyDiv w:val="1"/>
      <w:marLeft w:val="0"/>
      <w:marRight w:val="0"/>
      <w:marTop w:val="0"/>
      <w:marBottom w:val="0"/>
      <w:divBdr>
        <w:top w:val="none" w:sz="0" w:space="0" w:color="auto"/>
        <w:left w:val="none" w:sz="0" w:space="0" w:color="auto"/>
        <w:bottom w:val="none" w:sz="0" w:space="0" w:color="auto"/>
        <w:right w:val="none" w:sz="0" w:space="0" w:color="auto"/>
      </w:divBdr>
      <w:divsChild>
        <w:div w:id="1740981202">
          <w:marLeft w:val="0"/>
          <w:marRight w:val="0"/>
          <w:marTop w:val="0"/>
          <w:marBottom w:val="0"/>
          <w:divBdr>
            <w:top w:val="none" w:sz="0" w:space="0" w:color="auto"/>
            <w:left w:val="none" w:sz="0" w:space="0" w:color="auto"/>
            <w:bottom w:val="none" w:sz="0" w:space="0" w:color="auto"/>
            <w:right w:val="none" w:sz="0" w:space="0" w:color="auto"/>
          </w:divBdr>
        </w:div>
        <w:div w:id="1490098917">
          <w:marLeft w:val="0"/>
          <w:marRight w:val="0"/>
          <w:marTop w:val="0"/>
          <w:marBottom w:val="0"/>
          <w:divBdr>
            <w:top w:val="none" w:sz="0" w:space="0" w:color="auto"/>
            <w:left w:val="none" w:sz="0" w:space="0" w:color="auto"/>
            <w:bottom w:val="none" w:sz="0" w:space="0" w:color="auto"/>
            <w:right w:val="none" w:sz="0" w:space="0" w:color="auto"/>
          </w:divBdr>
        </w:div>
        <w:div w:id="1421490242">
          <w:marLeft w:val="0"/>
          <w:marRight w:val="0"/>
          <w:marTop w:val="0"/>
          <w:marBottom w:val="0"/>
          <w:divBdr>
            <w:top w:val="none" w:sz="0" w:space="0" w:color="auto"/>
            <w:left w:val="none" w:sz="0" w:space="0" w:color="auto"/>
            <w:bottom w:val="none" w:sz="0" w:space="0" w:color="auto"/>
            <w:right w:val="none" w:sz="0" w:space="0" w:color="auto"/>
          </w:divBdr>
        </w:div>
        <w:div w:id="1488521640">
          <w:marLeft w:val="0"/>
          <w:marRight w:val="0"/>
          <w:marTop w:val="0"/>
          <w:marBottom w:val="0"/>
          <w:divBdr>
            <w:top w:val="none" w:sz="0" w:space="0" w:color="auto"/>
            <w:left w:val="none" w:sz="0" w:space="0" w:color="auto"/>
            <w:bottom w:val="none" w:sz="0" w:space="0" w:color="auto"/>
            <w:right w:val="none" w:sz="0" w:space="0" w:color="auto"/>
          </w:divBdr>
        </w:div>
        <w:div w:id="231426516">
          <w:marLeft w:val="0"/>
          <w:marRight w:val="0"/>
          <w:marTop w:val="0"/>
          <w:marBottom w:val="0"/>
          <w:divBdr>
            <w:top w:val="none" w:sz="0" w:space="0" w:color="auto"/>
            <w:left w:val="none" w:sz="0" w:space="0" w:color="auto"/>
            <w:bottom w:val="none" w:sz="0" w:space="0" w:color="auto"/>
            <w:right w:val="none" w:sz="0" w:space="0" w:color="auto"/>
          </w:divBdr>
        </w:div>
        <w:div w:id="1715150926">
          <w:marLeft w:val="0"/>
          <w:marRight w:val="0"/>
          <w:marTop w:val="0"/>
          <w:marBottom w:val="0"/>
          <w:divBdr>
            <w:top w:val="none" w:sz="0" w:space="0" w:color="auto"/>
            <w:left w:val="none" w:sz="0" w:space="0" w:color="auto"/>
            <w:bottom w:val="none" w:sz="0" w:space="0" w:color="auto"/>
            <w:right w:val="none" w:sz="0" w:space="0" w:color="auto"/>
          </w:divBdr>
        </w:div>
        <w:div w:id="1534339287">
          <w:marLeft w:val="0"/>
          <w:marRight w:val="0"/>
          <w:marTop w:val="0"/>
          <w:marBottom w:val="0"/>
          <w:divBdr>
            <w:top w:val="none" w:sz="0" w:space="0" w:color="auto"/>
            <w:left w:val="none" w:sz="0" w:space="0" w:color="auto"/>
            <w:bottom w:val="none" w:sz="0" w:space="0" w:color="auto"/>
            <w:right w:val="none" w:sz="0" w:space="0" w:color="auto"/>
          </w:divBdr>
        </w:div>
      </w:divsChild>
    </w:div>
    <w:div w:id="1705250470">
      <w:bodyDiv w:val="1"/>
      <w:marLeft w:val="0"/>
      <w:marRight w:val="0"/>
      <w:marTop w:val="0"/>
      <w:marBottom w:val="0"/>
      <w:divBdr>
        <w:top w:val="none" w:sz="0" w:space="0" w:color="auto"/>
        <w:left w:val="none" w:sz="0" w:space="0" w:color="auto"/>
        <w:bottom w:val="none" w:sz="0" w:space="0" w:color="auto"/>
        <w:right w:val="none" w:sz="0" w:space="0" w:color="auto"/>
      </w:divBdr>
      <w:divsChild>
        <w:div w:id="702635108">
          <w:marLeft w:val="0"/>
          <w:marRight w:val="0"/>
          <w:marTop w:val="0"/>
          <w:marBottom w:val="0"/>
          <w:divBdr>
            <w:top w:val="none" w:sz="0" w:space="0" w:color="auto"/>
            <w:left w:val="none" w:sz="0" w:space="0" w:color="auto"/>
            <w:bottom w:val="none" w:sz="0" w:space="0" w:color="auto"/>
            <w:right w:val="none" w:sz="0" w:space="0" w:color="auto"/>
          </w:divBdr>
        </w:div>
        <w:div w:id="389039371">
          <w:marLeft w:val="0"/>
          <w:marRight w:val="0"/>
          <w:marTop w:val="0"/>
          <w:marBottom w:val="0"/>
          <w:divBdr>
            <w:top w:val="none" w:sz="0" w:space="0" w:color="auto"/>
            <w:left w:val="none" w:sz="0" w:space="0" w:color="auto"/>
            <w:bottom w:val="none" w:sz="0" w:space="0" w:color="auto"/>
            <w:right w:val="none" w:sz="0" w:space="0" w:color="auto"/>
          </w:divBdr>
        </w:div>
      </w:divsChild>
    </w:div>
    <w:div w:id="1774126220">
      <w:bodyDiv w:val="1"/>
      <w:marLeft w:val="0"/>
      <w:marRight w:val="0"/>
      <w:marTop w:val="0"/>
      <w:marBottom w:val="0"/>
      <w:divBdr>
        <w:top w:val="none" w:sz="0" w:space="0" w:color="auto"/>
        <w:left w:val="none" w:sz="0" w:space="0" w:color="auto"/>
        <w:bottom w:val="none" w:sz="0" w:space="0" w:color="auto"/>
        <w:right w:val="none" w:sz="0" w:space="0" w:color="auto"/>
      </w:divBdr>
      <w:divsChild>
        <w:div w:id="1242058449">
          <w:marLeft w:val="0"/>
          <w:marRight w:val="0"/>
          <w:marTop w:val="0"/>
          <w:marBottom w:val="0"/>
          <w:divBdr>
            <w:top w:val="none" w:sz="0" w:space="0" w:color="auto"/>
            <w:left w:val="none" w:sz="0" w:space="0" w:color="auto"/>
            <w:bottom w:val="none" w:sz="0" w:space="0" w:color="auto"/>
            <w:right w:val="none" w:sz="0" w:space="0" w:color="auto"/>
          </w:divBdr>
        </w:div>
        <w:div w:id="1370954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D6DA3-978C-4D15-9925-385C246F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2015-06-05T21:16:00Z</dcterms:created>
  <dcterms:modified xsi:type="dcterms:W3CDTF">2015-06-18T20:36:00Z</dcterms:modified>
</cp:coreProperties>
</file>